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header5.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2026 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 xml:space="preserve">Публичное </w:t>
      </w:r>
      <w:r>
        <w:rPr>
          <w:b/>
          <w:color w:val="auto"/>
        </w:rPr>
        <w:t xml:space="preserve">акционерное общество «Федеральная гидрогенерирующая компания </w:t>
      </w:r>
      <w:r>
        <w:rPr>
          <w:b/>
          <w:color w:val="auto"/>
          <w:lang w:val="ru-RU"/>
        </w:rPr>
        <w:t>–</w:t>
      </w:r>
      <w:r>
        <w:rPr>
          <w:b/>
          <w:color w:val="auto"/>
        </w:rPr>
        <w:t xml:space="preserve"> РусГидро» </w:t>
      </w:r>
      <w:r>
        <w:rPr>
          <w:color w:val="auto"/>
        </w:rPr>
        <w:t>(</w:t>
      </w:r>
      <w:r>
        <w:rPr>
          <w:color w:val="auto"/>
          <w:lang w:val="ru-RU"/>
        </w:rPr>
        <w:t>П</w:t>
      </w:r>
      <w:r>
        <w:rPr>
          <w:color w:val="auto"/>
        </w:rPr>
        <w:t xml:space="preserve">АО «РусГидро»)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совместно в дальнейшем именуемые «Стороны», а по отдельности – «Сторона», по результатам проведенного Состязательного отбора по лоту №</w:t>
      </w:r>
      <w:r>
        <w:rPr>
          <w:color w:val="auto"/>
          <w:lang w:val="ru-RU"/>
        </w:rPr>
        <w:t>4</w:t>
      </w:r>
      <w:r>
        <w:rPr>
          <w:color w:val="auto"/>
        </w:rPr>
        <w:t>-РЕМ-202</w:t>
      </w:r>
      <w:r>
        <w:rPr>
          <w:color w:val="auto"/>
          <w:lang w:val="ru-RU"/>
        </w:rPr>
        <w:t>6</w:t>
      </w:r>
      <w:r>
        <w:rPr>
          <w:color w:val="auto"/>
        </w:rPr>
        <w:t>-НовГЭС, и на основании Протокола о результатах __________ №_______ от «___»__________ года</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widowControl w:val="false"/>
        <w:shd w:val="clear" w:color="auto" w:fill="FFFFFF"/>
        <w:tabs>
          <w:tab w:val="clear" w:pos="709"/>
          <w:tab w:val="left" w:pos="567" w:leader="none"/>
          <w:tab w:val="left" w:pos="1134" w:leader="none"/>
        </w:tabs>
        <w:ind w:left="0" w:firstLine="709"/>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 </w:t>
      </w: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«ИС Maximo» </w:t>
      </w:r>
      <w:r>
        <w:rPr>
          <w:lang w:eastAsia="en-US"/>
        </w:rPr>
        <w:t xml:space="preserve">– </w:t>
      </w:r>
      <w:r>
        <w:rPr/>
        <w:t>информационная система управления фондами и активами предприятия «Maximo».</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 </w:t>
      </w: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 </w:t>
      </w: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bCs/>
          <w:lang w:eastAsia="en-US"/>
        </w:rPr>
        <w:t>«Национальный режим»</w:t>
      </w:r>
      <w:r>
        <w:rPr>
          <w:bCs/>
          <w:lang w:eastAsia="en-US"/>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 </w:t>
      </w:r>
    </w:p>
    <w:p>
      <w:pPr>
        <w:pStyle w:val="ListParagraph"/>
        <w:widowControl w:val="false"/>
        <w:shd w:val="clear" w:color="auto" w:fill="FFFFFF"/>
        <w:tabs>
          <w:tab w:val="clear" w:pos="709"/>
          <w:tab w:val="left" w:pos="567" w:leader="none"/>
          <w:tab w:val="left" w:pos="1134" w:leader="none"/>
        </w:tabs>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8"/>
        </w:numPr>
        <w:shd w:val="clear" w:color="auto" w:fill="FFFFFF"/>
        <w:tabs>
          <w:tab w:val="clear" w:pos="709"/>
          <w:tab w:val="left" w:pos="567" w:leader="none"/>
          <w:tab w:val="left" w:pos="1134" w:leader="none"/>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8"/>
        </w:numPr>
        <w:shd w:val="clear" w:color="auto" w:fill="FFFFFF"/>
        <w:tabs>
          <w:tab w:val="clear" w:pos="709"/>
          <w:tab w:val="left" w:pos="567" w:leader="none"/>
          <w:tab w:val="left" w:pos="1134" w:leader="none"/>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8"/>
        </w:numPr>
        <w:shd w:val="clear" w:color="auto" w:fill="FFFFFF"/>
        <w:tabs>
          <w:tab w:val="clear" w:pos="709"/>
          <w:tab w:val="left" w:pos="567" w:leader="none"/>
          <w:tab w:val="left" w:pos="1134" w:leader="none"/>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9"/>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Normal"/>
        <w:tabs>
          <w:tab w:val="left" w:pos="709" w:leader="none"/>
        </w:tabs>
        <w:spacing w:lineRule="auto" w:line="240"/>
        <w:ind w:firstLine="709"/>
        <w:rPr>
          <w:bCs/>
          <w:sz w:val="24"/>
          <w:szCs w:val="24"/>
        </w:rPr>
      </w:pPr>
      <w:r>
        <w:rPr>
          <w:b/>
          <w:sz w:val="24"/>
          <w:szCs w:val="24"/>
        </w:rPr>
        <w:t>«Скрытые работы»</w:t>
      </w:r>
      <w:r>
        <w:rPr>
          <w:sz w:val="24"/>
          <w:szCs w:val="24"/>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9"/>
          <w:tab w:val="left" w:pos="567" w:leader="none"/>
        </w:tabs>
        <w:spacing w:before="0" w:after="0"/>
        <w:ind w:firstLine="708"/>
        <w:jc w:val="both"/>
        <w:textAlignment w:val="baseline"/>
        <w:rPr>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r>
        <w:rPr>
          <w:sz w:val="24"/>
          <w:szCs w:val="24"/>
          <w:lang w:val="ru-RU" w:eastAsia="en-US"/>
        </w:rPr>
        <w:t xml:space="preserve"> </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Российская Федерация, г. Новосибирск, ул. Новоморская, 4.</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9"/>
          <w:tab w:val="left" w:pos="567" w:leader="none"/>
        </w:tabs>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Normal"/>
        <w:spacing w:lineRule="auto" w:line="240"/>
        <w:rPr>
          <w:lang w:val="x-none" w:eastAsia="x-none"/>
        </w:rPr>
      </w:pPr>
      <w:r>
        <w:rPr>
          <w:lang w:val="x-none" w:eastAsia="x-none"/>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9"/>
          <w:tab w:val="left" w:pos="1134" w:leader="none"/>
        </w:tabs>
        <w:ind w:left="0" w:firstLine="709"/>
        <w:jc w:val="both"/>
        <w:rPr>
          <w:bCs/>
        </w:rPr>
      </w:pPr>
      <w:bookmarkStart w:id="0" w:name="_Ref361410951"/>
      <w:r>
        <w:rPr>
          <w:bCs/>
        </w:rPr>
        <w:t>Подрядчик обязуется по заданию Заказчика в соответствии с Техническим заданием (Приложение № 1 к Договору) выполнить работы по текущему ремонту спиральной камеры и технических помещений гидроагрегата ст. №1 Новосибирской ГЭС с ремонтом спусков в помещения осушающих устройств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9"/>
          <w:tab w:val="left" w:pos="1134" w:leader="none"/>
        </w:tabs>
        <w:ind w:left="0" w:firstLine="709"/>
        <w:jc w:val="both"/>
        <w:rPr>
          <w:bCs/>
        </w:rPr>
      </w:pPr>
      <w:r>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Работы по Договору выполняются для нужд филиала ПАО «РусГидро»-«Новосибирская ГЭС». </w:t>
      </w:r>
    </w:p>
    <w:p>
      <w:pPr>
        <w:pStyle w:val="ListParagraph"/>
        <w:numPr>
          <w:ilvl w:val="1"/>
          <w:numId w:val="4"/>
        </w:numPr>
        <w:shd w:val="clear" w:color="auto" w:fill="FFFFFF"/>
        <w:tabs>
          <w:tab w:val="clear" w:pos="709"/>
          <w:tab w:val="left" w:pos="1134" w:leader="none"/>
        </w:tabs>
        <w:ind w:left="0" w:firstLine="709"/>
        <w:jc w:val="both"/>
        <w:rPr>
          <w:bCs/>
        </w:rPr>
      </w:pPr>
      <w:r>
        <w:rPr>
          <w:bCs/>
        </w:rPr>
        <w:t>Место выполнения Работ: Российская Федерация, г. Новосибирск, ул. Новоморская, 4</w:t>
      </w:r>
      <w:r>
        <w:rPr/>
        <w:t>.</w:t>
      </w:r>
    </w:p>
    <w:p>
      <w:pPr>
        <w:pStyle w:val="ListParagraph"/>
        <w:numPr>
          <w:ilvl w:val="1"/>
          <w:numId w:val="4"/>
        </w:numPr>
        <w:shd w:val="clear" w:color="auto" w:fill="FFFFFF"/>
        <w:tabs>
          <w:tab w:val="clear" w:pos="709"/>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9"/>
          <w:tab w:val="left" w:pos="1418" w:leader="none"/>
        </w:tabs>
        <w:ind w:left="0" w:firstLine="709"/>
        <w:jc w:val="both"/>
        <w:rPr/>
      </w:pPr>
      <w:r>
        <w:rPr>
          <w:bCs/>
        </w:rPr>
        <w:t xml:space="preserve">начало выполнения Работ: </w:t>
      </w:r>
      <w:r>
        <w:rPr/>
        <w:t>«15» сентября 2026 г;</w:t>
      </w:r>
    </w:p>
    <w:p>
      <w:pPr>
        <w:pStyle w:val="ListParagraph"/>
        <w:numPr>
          <w:ilvl w:val="2"/>
          <w:numId w:val="4"/>
        </w:numPr>
        <w:shd w:val="clear" w:color="auto" w:fill="FFFFFF"/>
        <w:tabs>
          <w:tab w:val="clear" w:pos="709"/>
          <w:tab w:val="left" w:pos="1418" w:leader="none"/>
        </w:tabs>
        <w:ind w:left="0" w:firstLine="709"/>
        <w:jc w:val="both"/>
        <w:rPr/>
      </w:pPr>
      <w:r>
        <w:rPr>
          <w:bCs/>
        </w:rPr>
        <w:t xml:space="preserve">окончание выполнения Работ: </w:t>
      </w:r>
      <w:r>
        <w:rPr/>
        <w:t xml:space="preserve">«25» февраля 2027 г. </w:t>
      </w:r>
    </w:p>
    <w:p>
      <w:pPr>
        <w:pStyle w:val="ListParagraph"/>
        <w:numPr>
          <w:ilvl w:val="1"/>
          <w:numId w:val="4"/>
        </w:numPr>
        <w:shd w:val="clear" w:color="auto" w:fill="FFFFFF"/>
        <w:tabs>
          <w:tab w:val="clear" w:pos="709"/>
          <w:tab w:val="left" w:pos="1134" w:leader="none"/>
        </w:tabs>
        <w:ind w:left="0" w:firstLine="709"/>
        <w:jc w:val="both"/>
        <w:rPr>
          <w:szCs w:val="20"/>
        </w:rPr>
      </w:pPr>
      <w:r>
        <w:rPr>
          <w:bCs/>
        </w:rPr>
        <w:t xml:space="preserve">Работы, указанные в </w:t>
      </w:r>
      <w:r>
        <w:rPr/>
        <w:t>пункте 1.1</w:t>
      </w:r>
      <w:r>
        <w:rPr>
          <w:bCs/>
        </w:rPr>
        <w:t xml:space="preserve"> Договора, подлежат выполнению в отношении следующего Объекта: Блок гидроагрегата №1 (</w:t>
      </w:r>
      <w:r>
        <w:rPr>
          <w:color w:val="000000"/>
        </w:rPr>
        <w:t>инв.№</w:t>
      </w:r>
      <w:r>
        <w:rPr/>
        <w:t xml:space="preserve"> </w:t>
      </w:r>
      <w:r>
        <w:rPr>
          <w:color w:val="000000"/>
        </w:rPr>
        <w:t>НВ0000107761).</w:t>
      </w:r>
    </w:p>
    <w:p>
      <w:pPr>
        <w:pStyle w:val="Normal"/>
        <w:widowControl w:val="false"/>
        <w:shd w:val="clear" w:color="auto" w:fill="FFFFFF"/>
        <w:spacing w:lineRule="auto" w:line="240"/>
        <w:rPr>
          <w:sz w:val="24"/>
          <w:szCs w:val="24"/>
        </w:rPr>
      </w:pPr>
      <w:r>
        <w:rPr>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9"/>
          <w:tab w:val="left" w:pos="1418" w:leader="none"/>
        </w:tabs>
        <w:ind w:left="0" w:firstLine="709"/>
        <w:jc w:val="both"/>
        <w:rPr/>
      </w:pPr>
      <w:bookmarkStart w:id="2" w:name="_Ref361396847"/>
      <w:bookmarkStart w:id="3" w:name="_Ref361320734"/>
      <w:bookmarkStart w:id="4" w:name="_Ref361401696"/>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9"/>
        </w:numPr>
        <w:shd w:val="clear" w:color="auto" w:fill="FFFFFF"/>
        <w:tabs>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(Приложение № 3.1 к Договору);</w:t>
      </w:r>
    </w:p>
    <w:p>
      <w:pPr>
        <w:pStyle w:val="ListParagraph"/>
        <w:numPr>
          <w:ilvl w:val="0"/>
          <w:numId w:val="9"/>
        </w:numPr>
        <w:shd w:val="clear" w:color="auto" w:fill="FFFFFF"/>
        <w:tabs>
          <w:tab w:val="left" w:pos="709" w:leader="none"/>
          <w:tab w:val="left" w:pos="1418" w:leader="none"/>
        </w:tabs>
        <w:ind w:left="0" w:firstLine="709"/>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t xml:space="preserve"> </w:t>
      </w:r>
      <w:bookmarkEnd w:id="2"/>
      <w:bookmarkEnd w:id="3"/>
      <w:bookmarkEnd w:id="4"/>
    </w:p>
    <w:p>
      <w:pPr>
        <w:pStyle w:val="ListParagraph"/>
        <w:numPr>
          <w:ilvl w:val="2"/>
          <w:numId w:val="4"/>
        </w:numPr>
        <w:shd w:val="clear" w:color="auto" w:fill="FFFFFF"/>
        <w:tabs>
          <w:tab w:val="clear" w:pos="709"/>
          <w:tab w:val="left" w:pos="1418" w:leader="none"/>
        </w:tabs>
        <w:ind w:left="0" w:firstLine="709"/>
        <w:jc w:val="both"/>
        <w:rPr/>
      </w:pPr>
      <w:r>
        <w:rPr>
          <w:szCs w:val="22"/>
        </w:rPr>
        <w:t xml:space="preserve">При наличии технической возможности и </w:t>
      </w:r>
      <w:r>
        <w:rPr/>
        <w:t xml:space="preserve">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9"/>
          <w:tab w:val="left" w:pos="1418" w:leader="none"/>
        </w:tabs>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7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9"/>
          <w:tab w:val="left" w:pos="1418"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shd w:val="clear" w:color="auto" w:fill="FFFFFF"/>
        <w:tabs>
          <w:tab w:val="clear" w:pos="709"/>
          <w:tab w:val="left" w:pos="1418"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Подрядчику доступ к ИС Maximo с целью фиксации факта выполнения Работ по Договору. Параметры и условия доступа к ИС Maximo указаны в Приложении № 6 к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Выполнять иные обязанности, предусмотренные Договором.</w:t>
      </w:r>
    </w:p>
    <w:p>
      <w:pPr>
        <w:pStyle w:val="ListParagraph"/>
        <w:shd w:val="clear" w:color="auto" w:fill="FFFFFF"/>
        <w:tabs>
          <w:tab w:val="clear" w:pos="709"/>
          <w:tab w:val="left" w:pos="1418" w:leader="none"/>
        </w:tabs>
        <w:ind w:left="709" w:hanging="0"/>
        <w:jc w:val="both"/>
        <w:rPr>
          <w:bCs/>
        </w:rPr>
      </w:pPr>
      <w:r>
        <w:rPr>
          <w:bCs/>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9"/>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shd w:val="clear" w:color="auto" w:fill="FFFFFF"/>
        <w:tabs>
          <w:tab w:val="clear" w:pos="709"/>
          <w:tab w:val="left" w:pos="1418" w:leader="none"/>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shd w:val="clear" w:color="auto" w:fill="FFFFFF"/>
        <w:tabs>
          <w:tab w:val="clear" w:pos="709"/>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29"/>
        </w:numPr>
        <w:shd w:val="clear" w:color="auto" w:fill="FFFFFF"/>
        <w:ind w:left="0" w:firstLine="851"/>
        <w:jc w:val="both"/>
        <w:rPr>
          <w:bCs/>
        </w:rPr>
      </w:pPr>
      <w:r>
        <w:rPr>
          <w:bCs/>
        </w:rPr>
        <w:t>место производства Работ, место (помещение) для складирования Материально-технических ресурсов по соответствующим актам сдачи-приемки (Приложение № 3.1 к Договору);</w:t>
      </w:r>
    </w:p>
    <w:p>
      <w:pPr>
        <w:pStyle w:val="ListParagraph"/>
        <w:numPr>
          <w:ilvl w:val="0"/>
          <w:numId w:val="29"/>
        </w:numPr>
        <w:shd w:val="clear" w:color="auto" w:fill="FFFFFF"/>
        <w:ind w:left="0" w:firstLine="851"/>
        <w:jc w:val="both"/>
        <w:rPr>
          <w:bCs/>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9"/>
          <w:tab w:val="left" w:pos="1418" w:leader="none"/>
        </w:tabs>
        <w:ind w:left="0" w:firstLine="1418"/>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9"/>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5"/>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Pr>
          <w:bCs/>
          <w:lang w:val="en-US"/>
        </w:rPr>
        <w:t>Maximo</w:t>
      </w:r>
      <w:r>
        <w:rPr>
          <w:bCs/>
        </w:rPr>
        <w:t xml:space="preserve">; </w:t>
      </w:r>
    </w:p>
    <w:p>
      <w:pPr>
        <w:pStyle w:val="ListParagraph"/>
        <w:numPr>
          <w:ilvl w:val="0"/>
          <w:numId w:val="15"/>
        </w:numPr>
        <w:shd w:val="clear" w:color="auto" w:fill="FFFFFF"/>
        <w:tabs>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5"/>
        </w:numPr>
        <w:shd w:val="clear" w:color="auto" w:fill="FFFFFF"/>
        <w:tabs>
          <w:tab w:val="left" w:pos="709" w:leader="none"/>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2.1.2 и 2.1.3 Договора.</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16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9"/>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9"/>
          <w:tab w:val="left" w:pos="1418" w:leader="none"/>
        </w:tabs>
        <w:ind w:left="0" w:firstLine="709"/>
        <w:jc w:val="both"/>
        <w:rPr/>
      </w:pPr>
      <w:r>
        <w:rPr/>
        <w:t>Обеспечить:</w:t>
      </w:r>
    </w:p>
    <w:p>
      <w:pPr>
        <w:pStyle w:val="ListParagraph"/>
        <w:numPr>
          <w:ilvl w:val="0"/>
          <w:numId w:val="16"/>
        </w:numPr>
        <w:tabs>
          <w:tab w:val="clear" w:pos="709"/>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4"/>
        </w:numPr>
        <w:shd w:val="clear" w:color="auto" w:fill="FFFFFF"/>
        <w:tabs>
          <w:tab w:val="clear" w:pos="709"/>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09"/>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9"/>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Предоставить Заказчику в полном объеме необходимую для приемки Работ приемо-сдаточную и исполнительную документацию в 3 (трех) экземплярах. </w:t>
      </w:r>
    </w:p>
    <w:p>
      <w:pPr>
        <w:pStyle w:val="ListParagraph"/>
        <w:shd w:val="clear" w:color="auto" w:fill="FFFFFF"/>
        <w:tabs>
          <w:tab w:val="clear" w:pos="709"/>
          <w:tab w:val="left" w:pos="1418" w:leader="none"/>
        </w:tabs>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4"/>
        </w:numPr>
        <w:shd w:val="clear" w:color="auto" w:fill="FFFFFF"/>
        <w:tabs>
          <w:tab w:val="clear" w:pos="709"/>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9"/>
          <w:tab w:val="left" w:pos="1418" w:leader="none"/>
        </w:tabs>
        <w:ind w:left="0" w:firstLine="709"/>
        <w:jc w:val="both"/>
        <w:rPr>
          <w:bCs/>
        </w:rPr>
      </w:pPr>
      <w:r>
        <w:rPr>
          <w:bCs/>
        </w:rPr>
        <w:t>Передать Заказчику в полном объеме лом черных и цветных металлов, образовавшийся в ходе выполнения Работ.</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Подрядчик обязан предъявлять Заказчику материальные ценности, образованные в результате демонтажа объектов основных средств или их частей, в т.ч. объектов незавершенного строительства, а также малоценные и быстроизнашивающиеся предметы, хозяйственный инвентарь, инструменты и приспособления общего и специального назначения в порядке, установленном в Приложении № 8 к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shd w:val="clear" w:color="auto" w:fill="FFFFFF"/>
        <w:tabs>
          <w:tab w:val="clear" w:pos="709"/>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9"/>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9"/>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9"/>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7"/>
        </w:numPr>
        <w:ind w:left="0" w:right="23" w:firstLine="709"/>
        <w:jc w:val="both"/>
        <w:rPr/>
      </w:pPr>
      <w:r>
        <w:rPr/>
        <w:t>аварии – в течение 2 (двух) часов;</w:t>
      </w:r>
    </w:p>
    <w:p>
      <w:pPr>
        <w:pStyle w:val="ListParagraph"/>
        <w:numPr>
          <w:ilvl w:val="0"/>
          <w:numId w:val="17"/>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7"/>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7"/>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7"/>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7"/>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9"/>
          <w:tab w:val="left" w:pos="1418" w:leader="none"/>
        </w:tabs>
        <w:ind w:left="0" w:firstLine="709"/>
        <w:jc w:val="both"/>
        <w:rPr>
          <w:bCs/>
        </w:rPr>
      </w:pPr>
      <w:r>
        <w:rPr>
          <w:bCs/>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3.1 к Договору).</w:t>
      </w:r>
    </w:p>
    <w:p>
      <w:pPr>
        <w:pStyle w:val="ListParagraph"/>
        <w:numPr>
          <w:ilvl w:val="2"/>
          <w:numId w:val="4"/>
        </w:numPr>
        <w:shd w:val="clear" w:color="auto" w:fill="FFFFFF"/>
        <w:tabs>
          <w:tab w:val="clear" w:pos="709"/>
          <w:tab w:val="left" w:pos="1418" w:leader="none"/>
        </w:tabs>
        <w:ind w:left="0" w:firstLine="709"/>
        <w:jc w:val="both"/>
        <w:rPr/>
      </w:pPr>
      <w:r>
        <w:rPr>
          <w:bCs/>
        </w:rPr>
        <w:t>По требованию и в сроки, установленные Заказчиком, своими силами, средствами и за</w:t>
      </w:r>
      <w:r>
        <w:rPr/>
        <w:t xml:space="preserve">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9"/>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9"/>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abs>
          <w:tab w:val="clear" w:pos="709"/>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9"/>
          <w:tab w:val="left" w:pos="1418" w:leader="none"/>
        </w:tabs>
        <w:ind w:left="0" w:firstLine="709"/>
        <w:jc w:val="both"/>
        <w:rPr>
          <w:bCs/>
        </w:rPr>
      </w:pPr>
      <w:r>
        <w:rPr>
          <w:bCs/>
        </w:rPr>
        <w:t>Не позднее 2 (двух) рабочих дней с даты подписания Сторонами Акта КС-2, оформленного в соответствии с п.4.1. Договора, регистрировать факт выполнения принятых Заказчиком Работ по Договору путем заполнения электронной формы в ИС Maximo в соответствии с процедурами, установленными в Приложении № 6 к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9"/>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25  (двадцать пять) процентов</w:t>
      </w:r>
      <w:r>
        <w:rPr>
          <w:bCs/>
          <w:vertAlign w:val="superscript"/>
        </w:rPr>
        <w:t xml:space="preserve"> </w:t>
      </w:r>
      <w:r>
        <w:rPr>
          <w:bCs/>
        </w:rPr>
        <w:t>от Цены Договора, неся при этом ответственность за действия Субподрядчиков, как за свои собственные.</w:t>
      </w:r>
    </w:p>
    <w:p>
      <w:pPr>
        <w:pStyle w:val="ListParagraph"/>
        <w:shd w:val="clear" w:color="auto" w:fill="FFFFFF"/>
        <w:tabs>
          <w:tab w:val="clear" w:pos="709"/>
          <w:tab w:val="left" w:pos="851"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25"/>
        </w:numPr>
        <w:shd w:val="clear" w:color="auto" w:fill="FFFFFF"/>
        <w:tabs>
          <w:tab w:val="left" w:pos="709" w:leader="none"/>
          <w:tab w:val="left" w:pos="1418" w:leader="none"/>
        </w:tabs>
        <w:ind w:left="0" w:firstLine="709"/>
        <w:jc w:val="both"/>
        <w:rPr>
          <w:bCs/>
        </w:rPr>
      </w:pPr>
      <w:r>
        <w:rPr>
          <w:bCs/>
        </w:rPr>
        <w:t>проект договора с Субподрядчиком;</w:t>
      </w:r>
    </w:p>
    <w:p>
      <w:pPr>
        <w:pStyle w:val="ListParagraph"/>
        <w:numPr>
          <w:ilvl w:val="0"/>
          <w:numId w:val="25"/>
        </w:numPr>
        <w:shd w:val="clear" w:color="auto" w:fill="FFFFFF"/>
        <w:tabs>
          <w:tab w:val="left" w:pos="709" w:leader="none"/>
          <w:tab w:val="left" w:pos="1418" w:leader="none"/>
        </w:tabs>
        <w:ind w:left="0" w:firstLine="709"/>
        <w:jc w:val="both"/>
        <w:rPr>
          <w:bCs/>
        </w:rPr>
      </w:pPr>
      <w:r>
        <w:rPr>
          <w:bCs/>
        </w:rPr>
        <w:t>сведения об объемах выполнения работ Субподрядчиком;</w:t>
      </w:r>
    </w:p>
    <w:p>
      <w:pPr>
        <w:pStyle w:val="ListParagraph"/>
        <w:numPr>
          <w:ilvl w:val="0"/>
          <w:numId w:val="25"/>
        </w:numPr>
        <w:tabs>
          <w:tab w:val="left" w:pos="709" w:leader="none"/>
        </w:tabs>
        <w:ind w:left="0" w:firstLine="709"/>
        <w:jc w:val="both"/>
        <w:rPr>
          <w:bCs/>
        </w:rPr>
      </w:pPr>
      <w:r>
        <w:rPr>
          <w:bCs/>
        </w:rPr>
        <w:t>пофамильный перечень персонала Субподрядчика, который будет задействован при производстве Работ;</w:t>
      </w:r>
    </w:p>
    <w:p>
      <w:pPr>
        <w:pStyle w:val="ListParagraph"/>
        <w:numPr>
          <w:ilvl w:val="0"/>
          <w:numId w:val="24"/>
        </w:numPr>
        <w:tabs>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9"/>
          <w:tab w:val="left" w:pos="1418" w:leader="none"/>
        </w:tabs>
        <w:ind w:left="0" w:firstLine="426"/>
        <w:jc w:val="both"/>
        <w:rPr/>
      </w:pPr>
      <w:r>
        <w:rPr/>
      </w:r>
    </w:p>
    <w:p>
      <w:pPr>
        <w:pStyle w:val="ListParagraph"/>
        <w:numPr>
          <w:ilvl w:val="0"/>
          <w:numId w:val="4"/>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9"/>
          <w:tab w:val="left" w:pos="1134" w:leader="none"/>
        </w:tabs>
        <w:ind w:left="0" w:firstLine="709"/>
        <w:jc w:val="both"/>
        <w:rPr>
          <w:bCs/>
        </w:rPr>
      </w:pPr>
      <w:bookmarkStart w:id="8" w:name="_Ref361335465"/>
      <w:r>
        <w:rPr>
          <w:bCs/>
        </w:rPr>
        <w:t xml:space="preserve">Цена </w:t>
      </w:r>
      <w:r>
        <w:rPr/>
        <w:t xml:space="preserve">Договора </w:t>
      </w:r>
      <w:r>
        <w:rPr>
          <w:bCs/>
        </w:rPr>
        <w:t>в соответствии со Сводным сметным расчетом</w:t>
      </w:r>
      <w:r>
        <w:rPr/>
        <w:t xml:space="preserve"> </w:t>
      </w:r>
      <w:r>
        <w:rPr>
          <w:bCs/>
        </w:rPr>
        <w:t xml:space="preserve">с приложениями (Приложение № 2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учёта НДС, при этом НДС исчисляется дополнительно по ставке, установленной ст.164 Налогового кодекса РФ. </w:t>
      </w:r>
      <w:bookmarkEnd w:id="8"/>
    </w:p>
    <w:p>
      <w:pPr>
        <w:pStyle w:val="ListParagraph"/>
        <w:numPr>
          <w:ilvl w:val="2"/>
          <w:numId w:val="4"/>
        </w:numPr>
        <w:shd w:val="clear" w:color="auto" w:fill="FFFFFF"/>
        <w:tabs>
          <w:tab w:val="clear" w:pos="709"/>
          <w:tab w:val="left" w:pos="1134" w:leader="none"/>
        </w:tabs>
        <w:ind w:left="0" w:firstLine="709"/>
        <w:jc w:val="both"/>
        <w:rPr>
          <w:bCs/>
        </w:rPr>
      </w:pPr>
      <w:r>
        <w:rPr>
          <w:bCs/>
        </w:rPr>
        <w:t>Предельная цена Работ (без учета Лимита на непредвиденные работы и затраты) составляет _______ (_______________) рублей ___ копеек, без учёта НДС, при этом НДС исчисляется дополнительно по ставке, установленной ст.164 Налогового кодекса РФ;</w:t>
      </w:r>
    </w:p>
    <w:p>
      <w:pPr>
        <w:pStyle w:val="ListParagraph"/>
        <w:numPr>
          <w:ilvl w:val="2"/>
          <w:numId w:val="4"/>
        </w:numPr>
        <w:shd w:val="clear" w:color="auto" w:fill="FFFFFF"/>
        <w:tabs>
          <w:tab w:val="clear" w:pos="709"/>
          <w:tab w:val="left" w:pos="1134" w:leader="none"/>
        </w:tabs>
        <w:ind w:left="0" w:firstLine="709"/>
        <w:jc w:val="both"/>
        <w:rPr>
          <w:bCs/>
        </w:rPr>
      </w:pPr>
      <w:r>
        <w:rPr>
          <w:bCs/>
        </w:rPr>
        <w:t>Лимит на непредвиденные работы и затраты составляет ______ (___________________) рублей ___ копеек, без учёта НДС, при этом НДС исчисляется дополнительно по ставке, установленной ст.164 Налогового кодекса;</w:t>
      </w:r>
    </w:p>
    <w:p>
      <w:pPr>
        <w:pStyle w:val="ListParagraph"/>
        <w:numPr>
          <w:ilvl w:val="1"/>
          <w:numId w:val="4"/>
        </w:numPr>
        <w:shd w:val="clear" w:color="auto" w:fill="FFFFFF"/>
        <w:tabs>
          <w:tab w:val="clear" w:pos="709"/>
          <w:tab w:val="left" w:pos="1134" w:leader="none"/>
        </w:tabs>
        <w:suppressAutoHyphens w:val="false"/>
        <w:ind w:left="0" w:firstLine="709"/>
        <w:jc w:val="both"/>
        <w:rPr>
          <w:bCs/>
        </w:rPr>
      </w:pPr>
      <w:bookmarkStart w:id="9" w:name="_Ref361834605"/>
      <w:r>
        <w:rPr>
          <w:bCs/>
        </w:rPr>
        <w:t xml:space="preserve">Локальные сметы подлежат согласованию Сторонами не позднее истечения </w:t>
      </w:r>
      <w:r>
        <w:rPr/>
        <w:t>30</w:t>
      </w:r>
      <w:r>
        <w:rPr>
          <w:bCs/>
        </w:rPr>
        <w:t xml:space="preserve"> (</w:t>
      </w:r>
      <w:r>
        <w:rPr/>
        <w:t>тридцати</w:t>
      </w:r>
      <w:r>
        <w:rPr>
          <w:bCs/>
        </w:rPr>
        <w:t>)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Pr/>
        <w:t xml:space="preserve"> </w:t>
      </w:r>
      <w:r>
        <w:rPr>
          <w:bCs/>
        </w:rPr>
        <w:t>с приложениями (Приложение № 2 к Договору) путем заключения дополнительного соглашения к Договору.</w:t>
      </w:r>
      <w:bookmarkEnd w:id="9"/>
    </w:p>
    <w:p>
      <w:pPr>
        <w:pStyle w:val="ListParagraph"/>
        <w:numPr>
          <w:ilvl w:val="1"/>
          <w:numId w:val="4"/>
        </w:numPr>
        <w:shd w:val="clear" w:color="auto" w:fill="FFFFFF"/>
        <w:tabs>
          <w:tab w:val="clear" w:pos="709"/>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9"/>
          <w:tab w:val="left" w:pos="1418" w:leader="none"/>
        </w:tabs>
        <w:ind w:left="3907" w:hanging="3198"/>
        <w:jc w:val="both"/>
        <w:rPr>
          <w:bCs/>
        </w:rPr>
      </w:pPr>
      <w:r>
        <w:rPr>
          <w:bCs/>
        </w:rPr>
        <w:t>выполнение ремонтных работ;</w:t>
      </w:r>
    </w:p>
    <w:p>
      <w:pPr>
        <w:pStyle w:val="ListParagraph"/>
        <w:numPr>
          <w:ilvl w:val="2"/>
          <w:numId w:val="4"/>
        </w:numPr>
        <w:shd w:val="clear" w:color="auto" w:fill="FFFFFF"/>
        <w:tabs>
          <w:tab w:val="clear" w:pos="709"/>
          <w:tab w:val="left" w:pos="1418" w:leader="none"/>
        </w:tabs>
        <w:ind w:left="142" w:firstLine="567"/>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9"/>
          <w:tab w:val="left" w:pos="1418" w:leader="none"/>
        </w:tabs>
        <w:ind w:left="0" w:firstLine="851"/>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4"/>
        </w:numPr>
        <w:shd w:val="clear" w:color="auto" w:fill="FFFFFF"/>
        <w:tabs>
          <w:tab w:val="clear" w:pos="709"/>
          <w:tab w:val="left" w:pos="1418" w:leader="none"/>
        </w:tabs>
        <w:ind w:left="0" w:firstLine="851"/>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9"/>
          <w:tab w:val="left" w:pos="1134" w:leader="none"/>
        </w:tabs>
        <w:ind w:left="0" w:firstLine="851"/>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9"/>
          <w:tab w:val="left" w:pos="1134" w:leader="none"/>
        </w:tabs>
        <w:ind w:left="720" w:firstLine="277"/>
        <w:jc w:val="both"/>
        <w:rPr>
          <w:bCs/>
        </w:rPr>
      </w:pPr>
      <w:bookmarkStart w:id="10" w:name="_Ref361858588"/>
      <w:bookmarkStart w:id="11" w:name="_Ref361834675"/>
      <w:r>
        <w:rPr>
          <w:bCs/>
        </w:rPr>
        <w:t>Оплата по Договору осуществляется Заказчиком в следующем порядке:</w:t>
      </w:r>
      <w:bookmarkEnd w:id="10"/>
      <w:bookmarkEnd w:id="11"/>
      <w:r>
        <w:rPr>
          <w:bCs/>
        </w:rPr>
        <w:t xml:space="preserve"> </w:t>
      </w:r>
    </w:p>
    <w:p>
      <w:pPr>
        <w:pStyle w:val="ListParagraph"/>
        <w:numPr>
          <w:ilvl w:val="2"/>
          <w:numId w:val="4"/>
        </w:numPr>
        <w:shd w:val="clear" w:color="auto" w:fill="FFFFFF"/>
        <w:tabs>
          <w:tab w:val="clear" w:pos="709"/>
          <w:tab w:val="left" w:pos="1418" w:leader="none"/>
        </w:tabs>
        <w:ind w:left="0" w:firstLine="851"/>
        <w:jc w:val="both"/>
        <w:rPr/>
      </w:pPr>
      <w:bookmarkStart w:id="12" w:name="_Ref373242766"/>
      <w:bookmarkStart w:id="13" w:name="_Ref361335057"/>
      <w:bookmarkStart w:id="14" w:name="_Ref373242755"/>
      <w:bookmarkEnd w:id="13"/>
      <w:bookmarkEnd w:id="14"/>
      <w:r>
        <w:rPr/>
        <w:t>Авансовый платеж в счет стоимости Работ по Договору в размере 10 (десяти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определенной в пункте 1.5. Договора, и с учетом пункта 3.5.3 Договора.</w:t>
      </w:r>
      <w:bookmarkEnd w:id="12"/>
    </w:p>
    <w:p>
      <w:pPr>
        <w:pStyle w:val="ListParagraph"/>
        <w:numPr>
          <w:ilvl w:val="2"/>
          <w:numId w:val="4"/>
        </w:numPr>
        <w:ind w:left="0" w:firstLine="851"/>
        <w:jc w:val="both"/>
        <w:rPr/>
      </w:pPr>
      <w:r>
        <w:rPr/>
        <w:t>Окончательный платеж в размере 90 (девяноста процентов) от Цены Договора выплачивается в течение 7 (семи) рабочих дней</w:t>
      </w:r>
      <w:r>
        <w:rPr>
          <w:vertAlign w:val="superscript"/>
        </w:rPr>
        <w:t xml:space="preserve"> </w:t>
      </w:r>
      <w:r>
        <w:rPr/>
        <w:t>с даты подписания Сторонами документов, указанных в пункте 4.1 Договора, на основании счёта, выставленного Подрядчиком, и с учетом пункта 3.5.3 Договора.</w:t>
      </w:r>
    </w:p>
    <w:p>
      <w:pPr>
        <w:pStyle w:val="ListParagraph"/>
        <w:numPr>
          <w:ilvl w:val="2"/>
          <w:numId w:val="4"/>
        </w:numPr>
        <w:shd w:val="clear" w:color="auto" w:fill="FFFFFF"/>
        <w:tabs>
          <w:tab w:val="clear" w:pos="709"/>
          <w:tab w:val="left" w:pos="1418" w:leader="none"/>
        </w:tabs>
        <w:ind w:left="0" w:firstLine="851"/>
        <w:jc w:val="both"/>
        <w:rPr>
          <w:bCs/>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15" w:name="_Ref373242894"/>
      <w:bookmarkStart w:id="16" w:name="_Ref361834178"/>
      <w:bookmarkEnd w:id="16"/>
      <w:r>
        <w:rPr>
          <w:bCs/>
        </w:rPr>
        <w:t>.</w:t>
      </w:r>
      <w:bookmarkEnd w:id="15"/>
      <w:r>
        <w:rPr>
          <w:bCs/>
        </w:rPr>
        <w:t xml:space="preserve"> </w:t>
      </w:r>
    </w:p>
    <w:p>
      <w:pPr>
        <w:pStyle w:val="ListParagraph"/>
        <w:numPr>
          <w:ilvl w:val="1"/>
          <w:numId w:val="4"/>
        </w:numPr>
        <w:shd w:val="clear" w:color="auto" w:fill="FFFFFF"/>
        <w:tabs>
          <w:tab w:val="clear" w:pos="709"/>
          <w:tab w:val="left" w:pos="1134" w:leader="none"/>
        </w:tabs>
        <w:ind w:left="0" w:firstLine="851"/>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bookmarkEnd w:id="17"/>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9"/>
          <w:tab w:val="left" w:pos="1418" w:leader="none"/>
        </w:tabs>
        <w:suppressAutoHyphens w:val="false"/>
        <w:ind w:left="0" w:firstLine="851"/>
        <w:jc w:val="both"/>
        <w:rPr>
          <w:bCs/>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расчетом</w:t>
      </w:r>
      <w:r>
        <w:rPr/>
        <w:t xml:space="preserve"> </w:t>
      </w:r>
      <w:r>
        <w:rPr>
          <w:bCs/>
        </w:rPr>
        <w:t>с приложениями</w:t>
      </w:r>
      <w:r>
        <w:rPr/>
        <w:t xml:space="preserve">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3.5.3 Договора.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4"/>
        </w:numPr>
        <w:shd w:val="clear" w:color="auto" w:fill="FFFFFF"/>
        <w:tabs>
          <w:tab w:val="clear" w:pos="709"/>
          <w:tab w:val="left" w:pos="1134" w:leader="none"/>
        </w:tabs>
        <w:ind w:left="0" w:firstLine="851"/>
        <w:jc w:val="both"/>
        <w:rPr/>
      </w:pPr>
      <w:r>
        <w:rPr/>
        <w:t xml:space="preserve">Командировочные расходы включаются в стоимость Работ по Договору в соответствии с расчетом, прилагаемым к Сводному сметному расчету </w:t>
      </w:r>
      <w:r>
        <w:rPr>
          <w:bCs/>
        </w:rPr>
        <w:t>с приложениями</w:t>
      </w:r>
      <w:r>
        <w:rPr/>
        <w:t xml:space="preserve">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4"/>
        </w:numPr>
        <w:shd w:val="clear" w:color="auto" w:fill="FFFFFF"/>
        <w:tabs>
          <w:tab w:val="clear" w:pos="709"/>
          <w:tab w:val="left" w:pos="1134" w:leader="none"/>
        </w:tabs>
        <w:ind w:left="720" w:firstLine="277"/>
        <w:jc w:val="both"/>
        <w:rPr>
          <w:bCs/>
        </w:rPr>
      </w:pPr>
      <w:bookmarkStart w:id="18" w:name="_Ref361335023"/>
      <w:bookmarkEnd w:id="18"/>
      <w:r>
        <w:rPr>
          <w:bCs/>
        </w:rPr>
        <w:t>Индексация Цены Договора не допускается.</w:t>
      </w:r>
    </w:p>
    <w:p>
      <w:pPr>
        <w:pStyle w:val="ListParagraph"/>
        <w:numPr>
          <w:ilvl w:val="1"/>
          <w:numId w:val="4"/>
        </w:numPr>
        <w:shd w:val="clear" w:color="auto" w:fill="FFFFFF"/>
        <w:tabs>
          <w:tab w:val="clear" w:pos="709"/>
          <w:tab w:val="left" w:pos="1134" w:leader="none"/>
        </w:tabs>
        <w:ind w:left="0" w:firstLine="851"/>
        <w:jc w:val="both"/>
        <w:rPr>
          <w:bCs/>
        </w:rPr>
      </w:pPr>
      <w:bookmarkStart w:id="19" w:name="_Ref361834251"/>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выполненного Подрядчиком Работ.</w:t>
      </w:r>
      <w:bookmarkEnd w:id="19"/>
    </w:p>
    <w:p>
      <w:pPr>
        <w:pStyle w:val="ListParagraph"/>
        <w:shd w:val="clear" w:color="auto" w:fill="FFFFFF"/>
        <w:tabs>
          <w:tab w:val="clear" w:pos="709"/>
          <w:tab w:val="left" w:pos="1134" w:leader="none"/>
        </w:tabs>
        <w:ind w:left="0" w:firstLine="709"/>
        <w:jc w:val="both"/>
        <w:rPr/>
      </w:pPr>
      <w: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0" w:firstLine="709"/>
        <w:jc w:val="both"/>
        <w:rPr/>
      </w:pPr>
      <w:r>
        <w:rPr/>
      </w:r>
    </w:p>
    <w:p>
      <w:pPr>
        <w:pStyle w:val="ListParagraph"/>
        <w:numPr>
          <w:ilvl w:val="0"/>
          <w:numId w:val="4"/>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4"/>
        </w:numPr>
        <w:shd w:val="clear" w:color="auto" w:fill="FFFFFF"/>
        <w:tabs>
          <w:tab w:val="clear" w:pos="709"/>
          <w:tab w:val="left" w:pos="1134" w:leader="none"/>
        </w:tabs>
        <w:ind w:left="0" w:firstLine="851"/>
        <w:jc w:val="both"/>
        <w:rPr/>
      </w:pPr>
      <w:bookmarkStart w:id="20" w:name="_Ref361336865"/>
      <w:r>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pPr>
        <w:pStyle w:val="ListParagraph"/>
        <w:numPr>
          <w:ilvl w:val="0"/>
          <w:numId w:val="18"/>
        </w:numPr>
        <w:shd w:val="clear" w:color="auto" w:fill="FFFFFF"/>
        <w:tabs>
          <w:tab w:val="clear" w:pos="709"/>
          <w:tab w:val="left" w:pos="1418" w:leader="none"/>
        </w:tabs>
        <w:ind w:left="0" w:firstLine="709"/>
        <w:jc w:val="both"/>
        <w:rPr/>
      </w:pPr>
      <w:r>
        <w:rPr/>
        <w:t xml:space="preserve">Акт КС-2, Справку КС-3 </w:t>
      </w:r>
      <w:r>
        <w:rPr>
          <w:bCs/>
        </w:rPr>
        <w:t>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1 (одном) экземпляре, а также электронные версии Акта КС-2 и Справки КС-3 в формате *gsfx ПК «ГРАНД Сметы» на цифровом носителе; </w:t>
      </w:r>
      <w:bookmarkEnd w:id="20"/>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4"/>
        </w:numPr>
        <w:shd w:val="clear" w:color="auto" w:fill="FFFFFF"/>
        <w:tabs>
          <w:tab w:val="clear" w:pos="709"/>
          <w:tab w:val="left" w:pos="1134" w:leader="none"/>
        </w:tabs>
        <w:ind w:left="0" w:firstLine="851"/>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4"/>
        </w:numPr>
        <w:shd w:val="clear" w:color="auto" w:fill="FFFFFF"/>
        <w:tabs>
          <w:tab w:val="clear" w:pos="709"/>
          <w:tab w:val="left" w:pos="1134" w:leader="none"/>
        </w:tabs>
        <w:ind w:left="0" w:firstLine="851"/>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4"/>
        </w:numPr>
        <w:shd w:val="clear" w:color="auto" w:fill="FFFFFF"/>
        <w:tabs>
          <w:tab w:val="clear" w:pos="709"/>
          <w:tab w:val="left" w:pos="1134" w:leader="none"/>
        </w:tabs>
        <w:ind w:left="0" w:firstLine="851"/>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9"/>
          <w:tab w:val="left" w:pos="1134" w:leader="none"/>
        </w:tabs>
        <w:ind w:left="0" w:firstLine="851"/>
        <w:jc w:val="both"/>
        <w:rPr>
          <w:bCs/>
        </w:rPr>
      </w:pPr>
      <w:bookmarkStart w:id="21"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pPr>
        <w:pStyle w:val="ListParagraph"/>
        <w:shd w:val="clear" w:color="auto" w:fill="FFFFFF"/>
        <w:tabs>
          <w:tab w:val="clear" w:pos="709"/>
          <w:tab w:val="left" w:pos="1134" w:leader="none"/>
        </w:tabs>
        <w:ind w:left="567"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4"/>
        </w:numPr>
        <w:shd w:val="clear" w:color="auto" w:fill="FFFFFF"/>
        <w:tabs>
          <w:tab w:val="clear" w:pos="709"/>
          <w:tab w:val="left" w:pos="1134" w:leader="none"/>
        </w:tabs>
        <w:ind w:left="0" w:firstLine="851"/>
        <w:jc w:val="both"/>
        <w:rPr>
          <w:bCs/>
        </w:rPr>
      </w:pPr>
      <w:bookmarkStart w:id="22" w:name="_Ref361405028"/>
      <w:r>
        <w:rPr>
          <w:bCs/>
        </w:rPr>
        <w:t>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КС-2.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22"/>
    </w:p>
    <w:p>
      <w:pPr>
        <w:pStyle w:val="ListParagraph"/>
        <w:shd w:val="clear" w:color="auto" w:fill="FFFFFF"/>
        <w:tabs>
          <w:tab w:val="clear" w:pos="709"/>
          <w:tab w:val="left" w:pos="0" w:leader="none"/>
          <w:tab w:val="left" w:pos="1134" w:leader="none"/>
        </w:tabs>
        <w:ind w:left="0" w:firstLine="709"/>
        <w:jc w:val="both"/>
        <w:rPr>
          <w:bCs/>
        </w:rPr>
      </w:pPr>
      <w:r>
        <w:rPr>
          <w:bCs/>
        </w:rPr>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Ответственность Сторон</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1"/>
          <w:numId w:val="4"/>
        </w:numPr>
        <w:shd w:val="clear" w:color="auto" w:fill="FFFFFF"/>
        <w:tabs>
          <w:tab w:val="clear" w:pos="709"/>
          <w:tab w:val="left" w:pos="1134" w:leader="none"/>
        </w:tabs>
        <w:ind w:left="0" w:firstLine="851"/>
        <w:jc w:val="both"/>
        <w:rPr>
          <w:bCs/>
        </w:rPr>
      </w:pPr>
      <w:r>
        <w:rPr>
          <w:bCs/>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ListParagraph"/>
        <w:numPr>
          <w:ilvl w:val="1"/>
          <w:numId w:val="4"/>
        </w:numPr>
        <w:shd w:val="clear" w:color="auto" w:fill="FFFFFF"/>
        <w:tabs>
          <w:tab w:val="clear" w:pos="709"/>
          <w:tab w:val="left" w:pos="1134" w:leader="none"/>
        </w:tabs>
        <w:ind w:left="0" w:firstLine="851"/>
        <w:jc w:val="both"/>
        <w:rPr>
          <w:bCs/>
        </w:rPr>
      </w:pPr>
      <w:r>
        <w:rPr>
          <w:bCs/>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numPr>
          <w:ilvl w:val="1"/>
          <w:numId w:val="4"/>
        </w:numPr>
        <w:shd w:val="clear" w:color="auto" w:fill="FFFFFF"/>
        <w:tabs>
          <w:tab w:val="clear" w:pos="709"/>
          <w:tab w:val="left" w:pos="1134" w:leader="none"/>
        </w:tabs>
        <w:ind w:left="0" w:firstLine="851"/>
        <w:jc w:val="both"/>
        <w:rPr>
          <w:bCs/>
        </w:rPr>
      </w:pPr>
      <w:r>
        <w:rPr>
          <w:bCs/>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 </w:t>
      </w:r>
      <w:r>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4"/>
        </w:numPr>
        <w:shd w:val="clear" w:color="auto" w:fill="FFFFFF"/>
        <w:tabs>
          <w:tab w:val="clear" w:pos="709"/>
          <w:tab w:val="left" w:pos="1134" w:leader="none"/>
        </w:tabs>
        <w:ind w:left="0" w:firstLine="851"/>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4"/>
        </w:numPr>
        <w:shd w:val="clear" w:color="auto" w:fill="FFFFFF"/>
        <w:tabs>
          <w:tab w:val="clear" w:pos="709"/>
          <w:tab w:val="left" w:pos="1134" w:leader="none"/>
        </w:tabs>
        <w:ind w:left="0" w:firstLine="851"/>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4"/>
        </w:numPr>
        <w:shd w:val="clear" w:color="auto" w:fill="FFFFFF"/>
        <w:tabs>
          <w:tab w:val="clear" w:pos="709"/>
          <w:tab w:val="left" w:pos="1134" w:leader="none"/>
        </w:tabs>
        <w:ind w:left="0" w:firstLine="851"/>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9"/>
          <w:tab w:val="left" w:pos="1134" w:leader="none"/>
        </w:tabs>
        <w:ind w:left="0" w:firstLine="851"/>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9"/>
          <w:tab w:val="left" w:pos="1134" w:leader="none"/>
        </w:tabs>
        <w:ind w:left="0" w:firstLine="851"/>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rPr>
      </w:pPr>
      <w:r>
        <w:rPr>
          <w:b/>
          <w:color w:val="000000"/>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Гарантии качества Результата Работ</w:t>
      </w:r>
    </w:p>
    <w:p>
      <w:pPr>
        <w:pStyle w:val="ListParagraph"/>
        <w:numPr>
          <w:ilvl w:val="1"/>
          <w:numId w:val="4"/>
        </w:numPr>
        <w:shd w:val="clear" w:color="auto" w:fill="FFFFFF"/>
        <w:tabs>
          <w:tab w:val="clear" w:pos="709"/>
          <w:tab w:val="left" w:pos="1134" w:leader="none"/>
        </w:tabs>
        <w:ind w:left="-142" w:firstLine="993"/>
        <w:jc w:val="both"/>
        <w:rPr>
          <w:bCs/>
        </w:rPr>
      </w:pPr>
      <w:bookmarkStart w:id="23" w:name="_Ref361337777"/>
      <w:r>
        <w:rPr>
          <w:bCs/>
        </w:rPr>
        <w:t xml:space="preserve">Гарантийный срок по Договору составляет </w:t>
      </w:r>
      <w:r>
        <w:rPr/>
        <w:t>36 (тридцать шесть) месяцев</w:t>
      </w:r>
      <w:r>
        <w:rPr>
          <w:bCs/>
        </w:rPr>
        <w:t xml:space="preserve"> и начинает течь с даты подписания Сторонами А</w:t>
      </w:r>
      <w:r>
        <w:rPr/>
        <w:t>кта КС-2</w:t>
      </w:r>
      <w:r>
        <w:rPr>
          <w:bCs/>
        </w:rPr>
        <w:t xml:space="preserve"> </w:t>
      </w:r>
      <w:bookmarkEnd w:id="23"/>
      <w:r>
        <w:rPr>
          <w:bCs/>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4"/>
        </w:numPr>
        <w:shd w:val="clear" w:color="auto" w:fill="FFFFFF"/>
        <w:tabs>
          <w:tab w:val="clear" w:pos="709"/>
          <w:tab w:val="left" w:pos="1134" w:leader="none"/>
        </w:tabs>
        <w:ind w:left="0" w:firstLine="851"/>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4"/>
        </w:numPr>
        <w:shd w:val="clear" w:color="auto" w:fill="FFFFFF"/>
        <w:tabs>
          <w:tab w:val="clear" w:pos="709"/>
          <w:tab w:val="left" w:pos="1134" w:leader="none"/>
        </w:tabs>
        <w:ind w:left="0" w:firstLine="851"/>
        <w:jc w:val="both"/>
        <w:rPr>
          <w:bCs/>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pPr>
        <w:pStyle w:val="ListParagraph"/>
        <w:numPr>
          <w:ilvl w:val="1"/>
          <w:numId w:val="4"/>
        </w:numPr>
        <w:shd w:val="clear" w:color="auto" w:fill="FFFFFF"/>
        <w:tabs>
          <w:tab w:val="clear" w:pos="709"/>
          <w:tab w:val="left" w:pos="1134" w:leader="none"/>
        </w:tabs>
        <w:ind w:left="0" w:firstLine="851"/>
        <w:jc w:val="both"/>
        <w:rPr>
          <w:bCs/>
        </w:rPr>
      </w:pPr>
      <w:r>
        <w:rPr>
          <w:bCs/>
        </w:rPr>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w:t>
      </w:r>
      <w:bookmarkStart w:id="25" w:name="OLE_LINK5"/>
      <w:bookmarkStart w:id="26" w:name="OLE_LINK6"/>
      <w:r>
        <w:rPr>
          <w:bCs/>
        </w:rPr>
        <w:t>Акте о недостатках, составленном в порядке, установленном пунктом 7.5 Договора</w:t>
      </w:r>
      <w:bookmarkEnd w:id="25"/>
      <w:bookmarkEnd w:id="26"/>
      <w:r>
        <w:rPr>
          <w:bCs/>
        </w:rPr>
        <w:t xml:space="preserve">. </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9"/>
          <w:tab w:val="left" w:pos="1134" w:leader="none"/>
        </w:tabs>
        <w:ind w:left="0" w:firstLine="851"/>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Исключительные права и патенты</w:t>
      </w:r>
    </w:p>
    <w:p>
      <w:pPr>
        <w:pStyle w:val="ListParagraph"/>
        <w:numPr>
          <w:ilvl w:val="1"/>
          <w:numId w:val="4"/>
        </w:numPr>
        <w:shd w:val="clear" w:color="auto" w:fill="FFFFFF"/>
        <w:tabs>
          <w:tab w:val="clear" w:pos="709"/>
          <w:tab w:val="left" w:pos="1134" w:leader="none"/>
        </w:tabs>
        <w:ind w:left="0" w:firstLine="851"/>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4"/>
        </w:numPr>
        <w:shd w:val="clear" w:color="auto" w:fill="FFFFFF"/>
        <w:tabs>
          <w:tab w:val="clear" w:pos="709"/>
          <w:tab w:val="left" w:pos="1134" w:leader="none"/>
        </w:tabs>
        <w:ind w:left="0" w:firstLine="851"/>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9"/>
          <w:tab w:val="left" w:pos="1134" w:leader="none"/>
        </w:tabs>
        <w:ind w:left="0" w:firstLine="851"/>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4"/>
        </w:numPr>
        <w:shd w:val="clear" w:color="auto" w:fill="FFFFFF"/>
        <w:tabs>
          <w:tab w:val="clear" w:pos="709"/>
          <w:tab w:val="left" w:pos="1134" w:leader="none"/>
        </w:tabs>
        <w:ind w:left="0" w:firstLine="851"/>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9"/>
          <w:tab w:val="left" w:pos="1134" w:leader="none"/>
        </w:tabs>
        <w:ind w:left="0" w:firstLine="851"/>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Конфиденциальность</w:t>
      </w:r>
    </w:p>
    <w:p>
      <w:pPr>
        <w:pStyle w:val="ListParagraph"/>
        <w:numPr>
          <w:ilvl w:val="1"/>
          <w:numId w:val="4"/>
        </w:numPr>
        <w:shd w:val="clear" w:color="auto" w:fill="FFFFFF"/>
        <w:tabs>
          <w:tab w:val="clear" w:pos="709"/>
          <w:tab w:val="left" w:pos="1134" w:leader="none"/>
        </w:tabs>
        <w:ind w:left="0" w:firstLine="851"/>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7"/>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7"/>
        </w:numPr>
        <w:tabs>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9"/>
          <w:tab w:val="left" w:pos="1134" w:leader="none"/>
        </w:tabs>
        <w:ind w:left="0" w:firstLine="851"/>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9"/>
          <w:tab w:val="left" w:pos="1134" w:leader="none"/>
        </w:tabs>
        <w:ind w:left="0" w:firstLine="851"/>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9"/>
          <w:tab w:val="left" w:pos="1134" w:leader="none"/>
        </w:tabs>
        <w:ind w:left="0" w:firstLine="851"/>
        <w:jc w:val="both"/>
        <w:rPr>
          <w:bCs/>
        </w:rPr>
      </w:pPr>
      <w:r>
        <w:rPr>
          <w:bCs/>
        </w:rPr>
        <w:t>Информация может включать в себя, в том числе, но не ограничиваясь:</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9"/>
          <w:tab w:val="left" w:pos="1134" w:leader="none"/>
        </w:tabs>
        <w:ind w:left="0" w:firstLine="851"/>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r>
        <w:rPr>
          <w:bCs/>
        </w:rPr>
        <w:t xml:space="preserve"> </w:t>
      </w:r>
    </w:p>
    <w:p>
      <w:pPr>
        <w:pStyle w:val="ListParagraph"/>
        <w:numPr>
          <w:ilvl w:val="2"/>
          <w:numId w:val="4"/>
        </w:numPr>
        <w:shd w:val="clear" w:color="auto" w:fill="FFFFFF"/>
        <w:tabs>
          <w:tab w:val="clear" w:pos="709"/>
          <w:tab w:val="left" w:pos="1418" w:leader="none"/>
        </w:tabs>
        <w:ind w:left="0" w:firstLine="851"/>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4"/>
        </w:numPr>
        <w:shd w:val="clear" w:color="auto" w:fill="FFFFFF"/>
        <w:tabs>
          <w:tab w:val="clear" w:pos="709"/>
          <w:tab w:val="left" w:pos="1418" w:leader="none"/>
        </w:tabs>
        <w:ind w:left="0" w:firstLine="851"/>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9"/>
          <w:tab w:val="left" w:pos="1418" w:leader="none"/>
        </w:tabs>
        <w:ind w:left="0" w:firstLine="851"/>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9"/>
          <w:tab w:val="left" w:pos="1418" w:leader="none"/>
        </w:tabs>
        <w:ind w:left="0" w:firstLine="851"/>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9"/>
          <w:tab w:val="left" w:pos="1418" w:leader="none"/>
        </w:tabs>
        <w:ind w:left="0" w:firstLine="851"/>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9"/>
          <w:tab w:val="left" w:pos="1418" w:leader="none"/>
        </w:tabs>
        <w:ind w:left="0" w:firstLine="851"/>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9"/>
          <w:tab w:val="left" w:pos="1418" w:leader="none"/>
        </w:tabs>
        <w:ind w:left="0" w:firstLine="851"/>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ListParagraph"/>
        <w:numPr>
          <w:ilvl w:val="2"/>
          <w:numId w:val="4"/>
        </w:numPr>
        <w:shd w:val="clear" w:color="auto" w:fill="FFFFFF"/>
        <w:tabs>
          <w:tab w:val="clear" w:pos="709"/>
          <w:tab w:val="left" w:pos="1418" w:leader="none"/>
        </w:tabs>
        <w:ind w:left="0" w:firstLine="851"/>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9"/>
          <w:tab w:val="left" w:pos="1134" w:leader="none"/>
        </w:tabs>
        <w:ind w:left="0" w:firstLine="851"/>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ListParagraph"/>
        <w:numPr>
          <w:ilvl w:val="1"/>
          <w:numId w:val="4"/>
        </w:numPr>
        <w:shd w:val="clear" w:color="auto" w:fill="FFFFFF"/>
        <w:tabs>
          <w:tab w:val="clear" w:pos="709"/>
          <w:tab w:val="left" w:pos="1134" w:leader="none"/>
        </w:tabs>
        <w:ind w:left="0" w:firstLine="851"/>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4"/>
        </w:numPr>
        <w:shd w:val="clear" w:color="auto" w:fill="FFFFFF"/>
        <w:tabs>
          <w:tab w:val="clear" w:pos="709"/>
          <w:tab w:val="left" w:pos="284" w:leader="none"/>
        </w:tabs>
        <w:ind w:left="0" w:hanging="0"/>
        <w:jc w:val="center"/>
        <w:rPr>
          <w:bCs/>
        </w:rPr>
      </w:pPr>
      <w:r>
        <w:rPr>
          <w:b/>
          <w:bCs/>
        </w:rPr>
        <w:t>Разрешение споров</w:t>
      </w:r>
    </w:p>
    <w:p>
      <w:pPr>
        <w:pStyle w:val="ListParagraph"/>
        <w:numPr>
          <w:ilvl w:val="1"/>
          <w:numId w:val="4"/>
        </w:numPr>
        <w:shd w:val="clear" w:color="auto" w:fill="FFFFFF"/>
        <w:tabs>
          <w:tab w:val="clear" w:pos="709"/>
          <w:tab w:val="left" w:pos="1134" w:leader="none"/>
        </w:tabs>
        <w:ind w:left="0" w:firstLine="851"/>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9"/>
          <w:tab w:val="left" w:pos="1134" w:leader="none"/>
        </w:tabs>
        <w:ind w:left="0" w:firstLine="851"/>
        <w:jc w:val="both"/>
        <w:rPr>
          <w:bCs/>
        </w:rPr>
      </w:pPr>
      <w:r>
        <w:rPr>
          <w:bCs/>
        </w:rPr>
        <w:t>Споры, указанные в пункте 10.1 Договора, которые не были урегулированы Сторонами путем переговоров, подлежат разрешению в Арбитражном суде Новосибирской области в соответствии с законодательством Российской Федерации.</w:t>
      </w:r>
    </w:p>
    <w:p>
      <w:pPr>
        <w:pStyle w:val="ListParagraph"/>
        <w:numPr>
          <w:ilvl w:val="1"/>
          <w:numId w:val="4"/>
        </w:numPr>
        <w:shd w:val="clear" w:color="auto" w:fill="FFFFFF"/>
        <w:tabs>
          <w:tab w:val="clear" w:pos="709"/>
          <w:tab w:val="left" w:pos="1134" w:leader="none"/>
        </w:tabs>
        <w:ind w:left="0" w:firstLine="851"/>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ListParagraph"/>
        <w:numPr>
          <w:ilvl w:val="1"/>
          <w:numId w:val="4"/>
        </w:numPr>
        <w:shd w:val="clear" w:color="auto" w:fill="FFFFFF"/>
        <w:tabs>
          <w:tab w:val="clear" w:pos="709"/>
          <w:tab w:val="left" w:pos="1134" w:leader="none"/>
        </w:tabs>
        <w:ind w:left="0" w:firstLine="851"/>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9"/>
          <w:tab w:val="left" w:pos="1134" w:leader="none"/>
        </w:tabs>
        <w:ind w:left="0" w:firstLine="851"/>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134" w:leader="none"/>
          <w:tab w:val="left" w:pos="1418" w:leader="none"/>
        </w:tabs>
        <w:ind w:left="709"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Антикоррупционная оговорка</w:t>
      </w:r>
    </w:p>
    <w:p>
      <w:pPr>
        <w:pStyle w:val="ListParagraph"/>
        <w:numPr>
          <w:ilvl w:val="1"/>
          <w:numId w:val="4"/>
        </w:numPr>
        <w:shd w:val="clear" w:color="auto" w:fill="FFFFFF"/>
        <w:tabs>
          <w:tab w:val="clear" w:pos="709"/>
          <w:tab w:val="left" w:pos="1134" w:leader="none"/>
        </w:tabs>
        <w:ind w:left="0" w:firstLine="851"/>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9"/>
          <w:tab w:val="left" w:pos="1134" w:leader="none"/>
        </w:tabs>
        <w:ind w:left="0" w:firstLine="851"/>
        <w:jc w:val="both"/>
        <w:rPr>
          <w:color w:val="000000"/>
        </w:rPr>
      </w:pPr>
      <w:r>
        <w:rPr>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9"/>
          <w:tab w:val="left" w:pos="1134" w:leader="none"/>
        </w:tabs>
        <w:ind w:left="0" w:firstLine="851"/>
        <w:jc w:val="both"/>
        <w:rPr>
          <w:color w:val="000000"/>
        </w:rPr>
      </w:pPr>
      <w:r>
        <w:rPr>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9"/>
          <w:tab w:val="left" w:pos="1134" w:leader="none"/>
        </w:tabs>
        <w:ind w:left="0" w:firstLine="851"/>
        <w:jc w:val="both"/>
        <w:rPr>
          <w:color w:val="000000"/>
        </w:rPr>
      </w:pPr>
      <w:r>
        <w:rPr>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9"/>
          <w:tab w:val="left" w:pos="1134" w:leader="none"/>
        </w:tabs>
        <w:ind w:left="0" w:firstLine="851"/>
        <w:jc w:val="both"/>
        <w:rPr>
          <w:color w:val="000000"/>
        </w:rPr>
      </w:pPr>
      <w:r>
        <w:rPr>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9"/>
          <w:tab w:val="left" w:pos="1134" w:leader="none"/>
        </w:tabs>
        <w:ind w:left="0" w:firstLine="851"/>
        <w:jc w:val="both"/>
        <w:rPr>
          <w:bCs/>
          <w:color w:val="000000"/>
        </w:rPr>
      </w:pPr>
      <w:r>
        <w:rPr>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w:t>
      </w:r>
      <w:r>
        <w:rPr>
          <w:bCs/>
          <w:color w:val="000000"/>
        </w:rPr>
        <w:t xml:space="preserve"> до даты прекращения действия Договора. </w:t>
      </w:r>
    </w:p>
    <w:p>
      <w:pPr>
        <w:pStyle w:val="ListParagraph"/>
        <w:numPr>
          <w:ilvl w:val="1"/>
          <w:numId w:val="4"/>
        </w:numPr>
        <w:shd w:val="clear" w:color="auto" w:fill="FFFFFF"/>
        <w:tabs>
          <w:tab w:val="clear" w:pos="709"/>
          <w:tab w:val="left" w:pos="1134" w:leader="none"/>
        </w:tabs>
        <w:ind w:left="0" w:firstLine="851"/>
        <w:jc w:val="both"/>
        <w:rPr>
          <w:color w:val="000000"/>
        </w:rPr>
      </w:pPr>
      <w:r>
        <w:rPr>
          <w:color w:val="000000"/>
        </w:rPr>
        <w:t xml:space="preserve">Каналы связи Линия доверия Группы РусГидро: </w:t>
      </w:r>
    </w:p>
    <w:p>
      <w:pPr>
        <w:pStyle w:val="ListParagraph"/>
        <w:numPr>
          <w:ilvl w:val="2"/>
          <w:numId w:val="4"/>
        </w:numPr>
        <w:shd w:val="clear" w:color="auto" w:fill="FFFFFF"/>
        <w:tabs>
          <w:tab w:val="clear" w:pos="709"/>
          <w:tab w:val="left" w:pos="1418" w:leader="none"/>
          <w:tab w:val="left" w:pos="1560" w:leader="none"/>
        </w:tabs>
        <w:ind w:left="0" w:firstLine="851"/>
        <w:jc w:val="both"/>
        <w:rPr>
          <w:bCs/>
        </w:rPr>
      </w:pPr>
      <w:r>
        <w:rPr>
          <w:bCs/>
        </w:rPr>
        <w:t>Электронная почта: ld@rushydro.ru.</w:t>
      </w:r>
    </w:p>
    <w:p>
      <w:pPr>
        <w:pStyle w:val="ListParagraph"/>
        <w:numPr>
          <w:ilvl w:val="2"/>
          <w:numId w:val="4"/>
        </w:numPr>
        <w:shd w:val="clear" w:color="auto" w:fill="FFFFFF"/>
        <w:tabs>
          <w:tab w:val="clear" w:pos="709"/>
          <w:tab w:val="left" w:pos="1418" w:leader="none"/>
          <w:tab w:val="left" w:pos="1560" w:leader="none"/>
        </w:tabs>
        <w:ind w:left="0" w:firstLine="851"/>
        <w:jc w:val="both"/>
        <w:rPr>
          <w:bCs/>
        </w:rPr>
      </w:pPr>
      <w:r>
        <w:rPr>
          <w:bCs/>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shd w:val="clear" w:color="auto" w:fill="FFFFFF"/>
        <w:tabs>
          <w:tab w:val="clear" w:pos="709"/>
          <w:tab w:val="left" w:pos="1418" w:leader="none"/>
          <w:tab w:val="left" w:pos="1560" w:leader="none"/>
        </w:tabs>
        <w:ind w:left="0" w:firstLine="851"/>
        <w:jc w:val="both"/>
        <w:rPr/>
      </w:pPr>
      <w:r>
        <w:rPr>
          <w:bCs/>
        </w:rPr>
        <w:t>Телефонный</w:t>
      </w:r>
      <w:r>
        <w:rPr/>
        <w:t xml:space="preserve">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rPr>
      </w:pPr>
      <w:r>
        <w:rPr>
          <w:b/>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Обстоятельства непреодолимой силы (форс-мажор)</w:t>
      </w:r>
    </w:p>
    <w:p>
      <w:pPr>
        <w:pStyle w:val="ListParagraph"/>
        <w:numPr>
          <w:ilvl w:val="1"/>
          <w:numId w:val="4"/>
        </w:numPr>
        <w:shd w:val="clear" w:color="auto" w:fill="FFFFFF"/>
        <w:tabs>
          <w:tab w:val="clear" w:pos="709"/>
          <w:tab w:val="left" w:pos="1134" w:leader="none"/>
        </w:tabs>
        <w:ind w:left="0" w:firstLine="851"/>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9"/>
          <w:tab w:val="left" w:pos="1134" w:leader="none"/>
        </w:tabs>
        <w:ind w:left="0" w:firstLine="851"/>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9"/>
          <w:tab w:val="left" w:pos="1134" w:leader="none"/>
        </w:tabs>
        <w:ind w:left="0" w:firstLine="851"/>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9"/>
          <w:tab w:val="left" w:pos="1134" w:leader="none"/>
        </w:tabs>
        <w:ind w:left="0" w:firstLine="851"/>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9"/>
          <w:tab w:val="left" w:pos="1134" w:leader="none"/>
        </w:tabs>
        <w:ind w:left="0" w:firstLine="851"/>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Особые положения</w:t>
      </w:r>
    </w:p>
    <w:p>
      <w:pPr>
        <w:pStyle w:val="ListParagraph"/>
        <w:numPr>
          <w:ilvl w:val="1"/>
          <w:numId w:val="4"/>
        </w:numPr>
        <w:shd w:val="clear" w:color="auto" w:fill="FFFFFF"/>
        <w:tabs>
          <w:tab w:val="clear" w:pos="709"/>
          <w:tab w:val="left" w:pos="1134" w:leader="none"/>
        </w:tabs>
        <w:ind w:left="0" w:firstLine="851"/>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4"/>
        </w:numPr>
        <w:shd w:val="clear" w:color="auto" w:fill="FFFFFF"/>
        <w:tabs>
          <w:tab w:val="clear" w:pos="709"/>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4"/>
        </w:numPr>
        <w:shd w:val="clear" w:color="auto" w:fill="FFFFFF"/>
        <w:tabs>
          <w:tab w:val="clear" w:pos="709"/>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ListParagraph"/>
        <w:numPr>
          <w:ilvl w:val="1"/>
          <w:numId w:val="4"/>
        </w:numPr>
        <w:shd w:val="clear" w:color="auto" w:fill="FFFFFF"/>
        <w:tabs>
          <w:tab w:val="clear" w:pos="709"/>
          <w:tab w:val="left" w:pos="1134" w:leader="none"/>
        </w:tabs>
        <w:ind w:left="0" w:firstLine="851"/>
        <w:jc w:val="both"/>
        <w:rPr>
          <w:bCs/>
        </w:rPr>
      </w:pPr>
      <w:bookmarkStart w:id="3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1"/>
    </w:p>
    <w:p>
      <w:pPr>
        <w:pStyle w:val="ListParagraph"/>
        <w:numPr>
          <w:ilvl w:val="1"/>
          <w:numId w:val="4"/>
        </w:numPr>
        <w:shd w:val="clear" w:color="auto" w:fill="FFFFFF"/>
        <w:tabs>
          <w:tab w:val="clear" w:pos="709"/>
          <w:tab w:val="left" w:pos="1134" w:leader="none"/>
        </w:tabs>
        <w:ind w:left="0" w:firstLine="851"/>
        <w:jc w:val="both"/>
        <w:rPr>
          <w:bCs/>
        </w:rPr>
      </w:pPr>
      <w:bookmarkStart w:id="32"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pPr>
        <w:pStyle w:val="ListParagraph"/>
        <w:numPr>
          <w:ilvl w:val="1"/>
          <w:numId w:val="4"/>
        </w:numPr>
        <w:shd w:val="clear" w:color="auto" w:fill="FFFFFF"/>
        <w:tabs>
          <w:tab w:val="clear" w:pos="709"/>
          <w:tab w:val="left" w:pos="1134" w:leader="none"/>
        </w:tabs>
        <w:ind w:left="0" w:firstLine="851"/>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3"/>
    </w:p>
    <w:p>
      <w:pPr>
        <w:pStyle w:val="ListParagraph"/>
        <w:numPr>
          <w:ilvl w:val="1"/>
          <w:numId w:val="4"/>
        </w:numPr>
        <w:shd w:val="clear" w:color="auto" w:fill="FFFFFF"/>
        <w:tabs>
          <w:tab w:val="clear" w:pos="709"/>
          <w:tab w:val="left" w:pos="1134" w:leader="none"/>
        </w:tabs>
        <w:ind w:left="0" w:firstLine="851"/>
        <w:jc w:val="both"/>
        <w:rPr>
          <w:bCs/>
        </w:rPr>
      </w:pPr>
      <w:bookmarkStart w:id="34"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14.3 Договора.</w:t>
      </w:r>
      <w:bookmarkEnd w:id="34"/>
    </w:p>
    <w:p>
      <w:pPr>
        <w:pStyle w:val="ListParagraph"/>
        <w:numPr>
          <w:ilvl w:val="1"/>
          <w:numId w:val="4"/>
        </w:numPr>
        <w:shd w:val="clear" w:color="auto" w:fill="FFFFFF"/>
        <w:tabs>
          <w:tab w:val="clear" w:pos="709"/>
          <w:tab w:val="left" w:pos="1134" w:leader="none"/>
        </w:tabs>
        <w:ind w:left="0" w:firstLine="851"/>
        <w:jc w:val="both"/>
        <w:rPr>
          <w:bCs/>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5"/>
    </w:p>
    <w:p>
      <w:pPr>
        <w:pStyle w:val="ListParagraph"/>
        <w:numPr>
          <w:ilvl w:val="1"/>
          <w:numId w:val="4"/>
        </w:numPr>
        <w:shd w:val="clear" w:color="auto" w:fill="FFFFFF"/>
        <w:tabs>
          <w:tab w:val="clear" w:pos="709"/>
          <w:tab w:val="left" w:pos="1134" w:leader="none"/>
        </w:tabs>
        <w:ind w:left="0" w:firstLine="851"/>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rPr>
      </w:pPr>
      <w:r>
        <w:rPr>
          <w:b/>
          <w:bCs/>
        </w:rPr>
        <w:t>Заверения</w:t>
      </w:r>
      <w:r>
        <w:rPr>
          <w:b/>
        </w:rPr>
        <w:t xml:space="preserve"> Сторон</w:t>
      </w:r>
    </w:p>
    <w:p>
      <w:pPr>
        <w:pStyle w:val="ListParagraph"/>
        <w:numPr>
          <w:ilvl w:val="1"/>
          <w:numId w:val="4"/>
        </w:numPr>
        <w:shd w:val="clear" w:color="auto" w:fill="FFFFFF"/>
        <w:tabs>
          <w:tab w:val="clear" w:pos="709"/>
          <w:tab w:val="left" w:pos="1134" w:leader="none"/>
        </w:tabs>
        <w:ind w:left="0" w:firstLine="851"/>
        <w:jc w:val="both"/>
        <w:rPr/>
      </w:pPr>
      <w:r>
        <w:rPr>
          <w:bCs/>
        </w:rPr>
        <w:t>Каждая</w:t>
      </w:r>
      <w:r>
        <w:rPr/>
        <w:t xml:space="preserve"> из Сторон заявляет и подтверждает другой Стороне, что: </w:t>
      </w:r>
    </w:p>
    <w:p>
      <w:pPr>
        <w:pStyle w:val="ListParagraph"/>
        <w:numPr>
          <w:ilvl w:val="0"/>
          <w:numId w:val="11"/>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1"/>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1"/>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1"/>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1"/>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9"/>
          <w:tab w:val="left" w:pos="1134" w:leader="none"/>
        </w:tabs>
        <w:ind w:left="0" w:firstLine="851"/>
        <w:jc w:val="both"/>
        <w:rPr/>
      </w:pPr>
      <w:r>
        <w:rPr>
          <w:bCs/>
        </w:rPr>
        <w:t>Подрядчик</w:t>
      </w:r>
      <w:r>
        <w:rPr/>
        <w:t xml:space="preserve"> заявляет и заверяет Заказчика в том, что на момент заключения Договора:</w:t>
      </w:r>
    </w:p>
    <w:p>
      <w:pPr>
        <w:pStyle w:val="ListParagraph"/>
        <w:numPr>
          <w:ilvl w:val="0"/>
          <w:numId w:val="13"/>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3"/>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3"/>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3"/>
        </w:numPr>
        <w:shd w:val="clear" w:color="auto" w:fill="FFFFFF"/>
        <w:tabs>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2"/>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4"/>
        </w:numPr>
        <w:shd w:val="clear" w:color="auto" w:fill="FFFFFF"/>
        <w:tabs>
          <w:tab w:val="clear" w:pos="709"/>
          <w:tab w:val="left" w:pos="1134" w:leader="none"/>
        </w:tabs>
        <w:ind w:left="0" w:firstLine="851"/>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4"/>
        </w:numPr>
        <w:shd w:val="clear" w:color="auto" w:fill="FFFFFF"/>
        <w:tabs>
          <w:tab w:val="clear" w:pos="709"/>
          <w:tab w:val="left" w:pos="1134" w:leader="none"/>
        </w:tabs>
        <w:ind w:left="0" w:firstLine="851"/>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9"/>
          <w:tab w:val="left" w:pos="1134" w:leader="none"/>
        </w:tabs>
        <w:ind w:left="0" w:firstLine="851"/>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rPr>
      </w:pPr>
      <w:r>
        <w:rPr>
          <w:b/>
        </w:rPr>
      </w:r>
    </w:p>
    <w:p>
      <w:pPr>
        <w:pStyle w:val="ListParagraph"/>
        <w:numPr>
          <w:ilvl w:val="0"/>
          <w:numId w:val="4"/>
        </w:numPr>
        <w:shd w:val="clear" w:color="auto" w:fill="FFFFFF"/>
        <w:tabs>
          <w:tab w:val="clear" w:pos="709"/>
          <w:tab w:val="left" w:pos="284" w:leader="none"/>
        </w:tabs>
        <w:ind w:left="0" w:hanging="0"/>
        <w:jc w:val="center"/>
        <w:rPr>
          <w:b/>
        </w:rPr>
      </w:pPr>
      <w:r>
        <w:rPr>
          <w:b/>
          <w:bCs/>
        </w:rPr>
        <w:t>П</w:t>
      </w:r>
      <w:r>
        <w:rPr>
          <w:b/>
        </w:rPr>
        <w:t>рекращение (расторжение) Договора</w:t>
      </w:r>
    </w:p>
    <w:p>
      <w:pPr>
        <w:pStyle w:val="ListParagraph"/>
        <w:numPr>
          <w:ilvl w:val="1"/>
          <w:numId w:val="4"/>
        </w:numPr>
        <w:shd w:val="clear" w:color="auto" w:fill="FFFFFF"/>
        <w:tabs>
          <w:tab w:val="clear" w:pos="709"/>
          <w:tab w:val="left" w:pos="1134" w:leader="none"/>
        </w:tabs>
        <w:ind w:left="0" w:firstLine="851"/>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9"/>
          <w:tab w:val="left" w:pos="1134" w:leader="none"/>
        </w:tabs>
        <w:ind w:left="0" w:firstLine="851"/>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9"/>
          <w:tab w:val="left" w:pos="1134" w:leader="none"/>
        </w:tabs>
        <w:ind w:left="0" w:firstLine="851"/>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9"/>
          <w:tab w:val="left" w:pos="1134" w:leader="none"/>
        </w:tabs>
        <w:ind w:left="0" w:firstLine="851"/>
        <w:jc w:val="both"/>
        <w:rPr/>
      </w:pPr>
      <w:r>
        <w:rPr/>
        <w:t>Стороны установили, что существенным нарушением Договора Подрядчиком является:</w:t>
      </w:r>
    </w:p>
    <w:p>
      <w:pPr>
        <w:pStyle w:val="ListParagraph"/>
        <w:numPr>
          <w:ilvl w:val="0"/>
          <w:numId w:val="10"/>
        </w:numPr>
        <w:tabs>
          <w:tab w:val="clear" w:pos="709"/>
          <w:tab w:val="left" w:pos="1134" w:leader="none"/>
        </w:tabs>
        <w:ind w:left="0" w:right="23" w:firstLine="709"/>
        <w:jc w:val="both"/>
        <w:rPr/>
      </w:pPr>
      <w:r>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10"/>
        </w:numPr>
        <w:tabs>
          <w:tab w:val="clear" w:pos="709"/>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0"/>
        </w:numPr>
        <w:tabs>
          <w:tab w:val="clear" w:pos="709"/>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0"/>
        </w:numPr>
        <w:tabs>
          <w:tab w:val="clear" w:pos="709"/>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0"/>
        </w:numPr>
        <w:tabs>
          <w:tab w:val="clear" w:pos="709"/>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0"/>
        </w:numPr>
        <w:tabs>
          <w:tab w:val="clear" w:pos="709"/>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9"/>
          <w:tab w:val="left" w:pos="1134" w:leader="none"/>
        </w:tabs>
        <w:ind w:left="0" w:firstLine="851"/>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9"/>
          <w:tab w:val="left" w:pos="1134" w:leader="none"/>
        </w:tabs>
        <w:ind w:left="0" w:firstLine="851"/>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9"/>
        </w:numPr>
        <w:shd w:val="clear" w:color="auto" w:fill="FFFFFF"/>
        <w:tabs>
          <w:tab w:val="clear" w:pos="709"/>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9"/>
        </w:numPr>
        <w:shd w:val="clear" w:color="auto" w:fill="FFFFFF"/>
        <w:tabs>
          <w:tab w:val="clear" w:pos="709"/>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9"/>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4"/>
        </w:numPr>
        <w:shd w:val="clear" w:color="auto" w:fill="FFFFFF"/>
        <w:tabs>
          <w:tab w:val="clear" w:pos="709"/>
          <w:tab w:val="left" w:pos="1134" w:leader="none"/>
        </w:tabs>
        <w:ind w:left="0" w:firstLine="851"/>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418" w:leader="none"/>
        </w:tabs>
        <w:ind w:left="0" w:firstLine="567"/>
        <w:jc w:val="both"/>
        <w:rPr>
          <w:b/>
          <w:bCs/>
        </w:rPr>
      </w:pPr>
      <w:r>
        <w:rPr>
          <w:b/>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Заключительные положения</w:t>
      </w:r>
    </w:p>
    <w:p>
      <w:pPr>
        <w:pStyle w:val="ListParagraph"/>
        <w:numPr>
          <w:ilvl w:val="1"/>
          <w:numId w:val="4"/>
        </w:numPr>
        <w:shd w:val="clear" w:color="auto" w:fill="FFFFFF"/>
        <w:tabs>
          <w:tab w:val="clear" w:pos="709"/>
          <w:tab w:val="left" w:pos="1134" w:leader="none"/>
        </w:tabs>
        <w:ind w:left="0" w:firstLine="851"/>
        <w:jc w:val="both"/>
        <w:rPr/>
      </w:pPr>
      <w:r>
        <w:rPr/>
        <w:t>Договор вступает в силу с даты его подписания Сторонами и действует до полного исполнения ими принятых на себя обязательств.</w:t>
      </w:r>
    </w:p>
    <w:p>
      <w:pPr>
        <w:pStyle w:val="ListParagraph"/>
        <w:numPr>
          <w:ilvl w:val="1"/>
          <w:numId w:val="4"/>
        </w:numPr>
        <w:shd w:val="clear" w:color="auto" w:fill="FFFFFF"/>
        <w:tabs>
          <w:tab w:val="clear" w:pos="709"/>
          <w:tab w:val="left" w:pos="1134" w:leader="none"/>
        </w:tabs>
        <w:ind w:left="0" w:firstLine="851"/>
        <w:jc w:val="both"/>
        <w:rPr>
          <w:lang w:eastAsia="en-US"/>
        </w:rPr>
      </w:pPr>
      <w:r>
        <w:rP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pacing w:lineRule="auto" w:line="240"/>
        <w:ind w:firstLine="709"/>
        <w:rPr>
          <w:sz w:val="24"/>
          <w:szCs w:val="24"/>
          <w:lang w:eastAsia="en-US"/>
        </w:rPr>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4"/>
        </w:numPr>
        <w:shd w:val="clear" w:color="auto" w:fill="FFFFFF"/>
        <w:tabs>
          <w:tab w:val="clear" w:pos="709"/>
          <w:tab w:val="left" w:pos="1134" w:leader="none"/>
        </w:tabs>
        <w:ind w:left="0" w:firstLine="851"/>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 </w:t>
      </w:r>
    </w:p>
    <w:p>
      <w:pPr>
        <w:pStyle w:val="ListParagraph"/>
        <w:numPr>
          <w:ilvl w:val="1"/>
          <w:numId w:val="4"/>
        </w:numPr>
        <w:shd w:val="clear" w:color="auto" w:fill="FFFFFF"/>
        <w:tabs>
          <w:tab w:val="clear" w:pos="709"/>
          <w:tab w:val="left" w:pos="1134" w:leader="none"/>
        </w:tabs>
        <w:ind w:left="0" w:firstLine="851"/>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9"/>
          <w:tab w:val="left" w:pos="1134" w:leader="none"/>
        </w:tabs>
        <w:ind w:left="0" w:firstLine="851"/>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tabs>
          <w:tab w:val="clear" w:pos="709"/>
          <w:tab w:val="left" w:pos="1134" w:leader="none"/>
        </w:tabs>
        <w:ind w:left="0" w:firstLine="851"/>
        <w:jc w:val="both"/>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w:t>
      </w:r>
    </w:p>
    <w:p>
      <w:pPr>
        <w:pStyle w:val="ListParagraph"/>
        <w:numPr>
          <w:ilvl w:val="1"/>
          <w:numId w:val="4"/>
        </w:numPr>
        <w:tabs>
          <w:tab w:val="clear" w:pos="709"/>
          <w:tab w:val="left" w:pos="1134" w:leader="none"/>
        </w:tabs>
        <w:ind w:left="0" w:firstLine="851"/>
        <w:jc w:val="both"/>
        <w:rPr/>
      </w:pPr>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Start w:id="36" w:name="_Ref361338004"/>
      <w:bookmarkEnd w:id="36"/>
      <w:r>
        <w:rPr/>
        <w:t xml:space="preserve"> </w:t>
      </w:r>
    </w:p>
    <w:p>
      <w:pPr>
        <w:pStyle w:val="ListParagraph"/>
        <w:numPr>
          <w:ilvl w:val="1"/>
          <w:numId w:val="4"/>
        </w:numPr>
        <w:shd w:val="clear" w:color="auto" w:fill="FFFFFF"/>
        <w:tabs>
          <w:tab w:val="clear" w:pos="709"/>
          <w:tab w:val="left" w:pos="1134" w:leader="none"/>
        </w:tabs>
        <w:ind w:left="0" w:firstLine="851"/>
        <w:jc w:val="both"/>
        <w:rPr>
          <w:bCs/>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numPr>
          <w:ilvl w:val="2"/>
          <w:numId w:val="4"/>
        </w:numPr>
        <w:shd w:val="clear" w:color="auto" w:fill="FFFFFF"/>
        <w:tabs>
          <w:tab w:val="clear" w:pos="709"/>
          <w:tab w:val="left" w:pos="1418" w:leader="none"/>
          <w:tab w:val="left" w:pos="1560" w:leader="none"/>
        </w:tabs>
        <w:ind w:left="0" w:firstLine="851"/>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4"/>
        </w:numPr>
        <w:shd w:val="clear" w:color="auto" w:fill="FFFFFF"/>
        <w:tabs>
          <w:tab w:val="clear" w:pos="709"/>
          <w:tab w:val="left" w:pos="1418" w:leader="none"/>
          <w:tab w:val="left" w:pos="1560" w:leader="none"/>
        </w:tabs>
        <w:ind w:left="0" w:firstLine="851"/>
        <w:jc w:val="both"/>
        <w:rPr>
          <w:bCs/>
        </w:rPr>
      </w:pPr>
      <w:r>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ListParagraph"/>
        <w:numPr>
          <w:ilvl w:val="2"/>
          <w:numId w:val="4"/>
        </w:numPr>
        <w:shd w:val="clear" w:color="auto" w:fill="FFFFFF"/>
        <w:tabs>
          <w:tab w:val="clear" w:pos="709"/>
          <w:tab w:val="left" w:pos="1418" w:leader="none"/>
          <w:tab w:val="left" w:pos="1560" w:leader="none"/>
        </w:tabs>
        <w:ind w:left="0" w:firstLine="851"/>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 – 16.8.2 Договора. </w:t>
      </w:r>
    </w:p>
    <w:p>
      <w:pPr>
        <w:pStyle w:val="ListParagraph"/>
        <w:numPr>
          <w:ilvl w:val="1"/>
          <w:numId w:val="4"/>
        </w:numPr>
        <w:shd w:val="clear" w:color="auto" w:fill="FFFFFF"/>
        <w:tabs>
          <w:tab w:val="clear" w:pos="709"/>
          <w:tab w:val="left" w:pos="1134" w:leader="none"/>
        </w:tabs>
        <w:ind w:left="0" w:firstLine="851"/>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9"/>
          <w:tab w:val="left" w:pos="1134" w:leader="none"/>
          <w:tab w:val="left" w:pos="1560" w:leader="none"/>
        </w:tabs>
        <w:ind w:left="0" w:firstLine="851"/>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Normal"/>
        <w:shd w:val="clear" w:color="auto" w:fill="FFFFFF"/>
        <w:tabs>
          <w:tab w:val="clear" w:pos="709"/>
          <w:tab w:val="left" w:pos="1134" w:leader="none"/>
          <w:tab w:val="left" w:pos="1560" w:leader="none"/>
        </w:tabs>
        <w:spacing w:lineRule="auto" w:line="240"/>
        <w:ind w:left="142" w:firstLine="1276"/>
        <w:rPr>
          <w:sz w:val="24"/>
          <w:szCs w:val="24"/>
        </w:rPr>
      </w:pPr>
      <w:r>
        <w:rPr>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 </w:t>
      </w:r>
    </w:p>
    <w:p>
      <w:pPr>
        <w:pStyle w:val="ListParagraph"/>
        <w:numPr>
          <w:ilvl w:val="1"/>
          <w:numId w:val="4"/>
        </w:numPr>
        <w:shd w:val="clear" w:color="auto" w:fill="FFFFFF"/>
        <w:tabs>
          <w:tab w:val="clear" w:pos="709"/>
          <w:tab w:val="left" w:pos="1134" w:leader="none"/>
          <w:tab w:val="left" w:pos="1560" w:leader="none"/>
        </w:tabs>
        <w:ind w:left="0" w:firstLine="851"/>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Сводный сметный расчет с приложениями;</w:t>
      </w:r>
    </w:p>
    <w:p>
      <w:pPr>
        <w:pStyle w:val="ListParagraph"/>
        <w:shd w:val="clear" w:color="auto" w:fill="FFFFFF"/>
        <w:ind w:left="0" w:hanging="0"/>
        <w:jc w:val="both"/>
        <w:rPr>
          <w:bCs/>
        </w:rPr>
      </w:pPr>
      <w:r>
        <w:rPr>
          <w:bCs/>
        </w:rPr>
        <w:t>Приложение № 3.1 – Форма Акта сдачи-приемки места производства работ, места (помещения) для складирования Материально-технических ресурсов;</w:t>
      </w:r>
    </w:p>
    <w:p>
      <w:pPr>
        <w:pStyle w:val="ListParagraph"/>
        <w:shd w:val="clear" w:color="auto" w:fill="FFFFFF"/>
        <w:ind w:left="0" w:hanging="0"/>
        <w:jc w:val="both"/>
        <w:rPr>
          <w:bCs/>
        </w:rPr>
      </w:pPr>
      <w:r>
        <w:rPr>
          <w:bCs/>
        </w:rPr>
        <w:t>Приложение № 3.2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4 – Перечень допусков, разрешений и лицензий Подрядчика; </w:t>
      </w:r>
    </w:p>
    <w:p>
      <w:pPr>
        <w:pStyle w:val="ListParagraph"/>
        <w:shd w:val="clear" w:color="auto" w:fill="FFFFFF"/>
        <w:ind w:left="0" w:hanging="0"/>
        <w:jc w:val="both"/>
        <w:rPr>
          <w:bCs/>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 xml:space="preserve">Приложение № 6 – </w:t>
      </w:r>
      <w:r>
        <w:rPr/>
        <w:t>Параметры и условия доступа к ИС Maximo;</w:t>
      </w:r>
    </w:p>
    <w:p>
      <w:pPr>
        <w:pStyle w:val="ListParagraph"/>
        <w:shd w:val="clear" w:color="auto" w:fill="FFFFFF"/>
        <w:ind w:left="0" w:hanging="0"/>
        <w:jc w:val="both"/>
        <w:rPr/>
      </w:pPr>
      <w:r>
        <w:rPr>
          <w:bCs/>
        </w:rPr>
        <w:t xml:space="preserve">Приложение № 7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Normal"/>
        <w:spacing w:lineRule="auto" w:line="240"/>
        <w:ind w:hanging="0"/>
        <w:rPr>
          <w:b/>
          <w:sz w:val="24"/>
          <w:szCs w:val="24"/>
        </w:rPr>
      </w:pPr>
      <w:r>
        <w:rPr>
          <w:sz w:val="24"/>
          <w:szCs w:val="24"/>
        </w:rPr>
        <w:t>Приложение №8 - Порядок возврата Подрядчиком Заказчику лома и отходов черных и цветных металлов, образовавшихся при производстве работ.</w:t>
      </w:r>
    </w:p>
    <w:p>
      <w:pPr>
        <w:pStyle w:val="Normal"/>
        <w:spacing w:lineRule="auto" w:line="240"/>
        <w:ind w:hanging="0"/>
        <w:rPr>
          <w:sz w:val="24"/>
          <w:szCs w:val="24"/>
        </w:rPr>
      </w:pPr>
      <w:r>
        <w:rPr>
          <w:sz w:val="24"/>
          <w:szCs w:val="24"/>
        </w:rPr>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Адреса и платежные реквизиты Сторон</w:t>
      </w:r>
    </w:p>
    <w:p>
      <w:pPr>
        <w:pStyle w:val="ListParagraph"/>
        <w:shd w:val="clear" w:color="auto" w:fill="FFFFFF"/>
        <w:tabs>
          <w:tab w:val="clear" w:pos="709"/>
          <w:tab w:val="left" w:pos="426" w:leader="none"/>
        </w:tabs>
        <w:ind w:left="0" w:hanging="0"/>
        <w:rPr>
          <w:b/>
          <w:bCs/>
        </w:rPr>
      </w:pPr>
      <w:r>
        <w:rPr>
          <w:b/>
          <w:bCs/>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3"/>
        <w:gridCol w:w="145"/>
        <w:gridCol w:w="4641"/>
        <w:gridCol w:w="321"/>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Публичное акционерное общество</w:t>
            </w:r>
          </w:p>
          <w:p>
            <w:pPr>
              <w:pStyle w:val="Normal"/>
              <w:widowControl w:val="false"/>
              <w:spacing w:lineRule="auto" w:line="240"/>
              <w:ind w:hanging="0"/>
              <w:jc w:val="left"/>
              <w:rPr>
                <w:b/>
                <w:sz w:val="24"/>
                <w:szCs w:val="24"/>
              </w:rPr>
            </w:pPr>
            <w:r>
              <w:rPr>
                <w:b/>
                <w:sz w:val="24"/>
                <w:szCs w:val="24"/>
              </w:rPr>
              <w:t>«Федеральная гидрогенерирующая компания - РусГидро» (ПАО «РусГидро»)</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Место нахождения: </w:t>
            </w:r>
          </w:p>
          <w:p>
            <w:pPr>
              <w:pStyle w:val="Normal"/>
              <w:widowControl w:val="false"/>
              <w:spacing w:lineRule="auto" w:line="240"/>
              <w:ind w:hanging="0"/>
              <w:rPr>
                <w:sz w:val="24"/>
                <w:szCs w:val="24"/>
              </w:rPr>
            </w:pPr>
            <w:r>
              <w:rPr>
                <w:sz w:val="24"/>
                <w:szCs w:val="24"/>
              </w:rPr>
              <w:t>660049, Красноярский край, г.о. город Красноярск, г. Красноярск, ул. Перенсона, зд. 2А,помещ.1</w:t>
            </w:r>
          </w:p>
          <w:p>
            <w:pPr>
              <w:pStyle w:val="Normal"/>
              <w:widowControl w:val="false"/>
              <w:spacing w:lineRule="auto" w:line="240"/>
              <w:ind w:hanging="0"/>
              <w:rPr>
                <w:sz w:val="24"/>
                <w:szCs w:val="24"/>
              </w:rPr>
            </w:pPr>
            <w:r>
              <w:rPr>
                <w:sz w:val="24"/>
                <w:szCs w:val="24"/>
              </w:rPr>
              <w:t>Филиал ПАО «РусГидро»-«Новосибирская ГЭС»</w:t>
            </w:r>
          </w:p>
          <w:p>
            <w:pPr>
              <w:pStyle w:val="Normal"/>
              <w:widowControl w:val="false"/>
              <w:spacing w:lineRule="auto" w:line="240"/>
              <w:ind w:hanging="0"/>
              <w:jc w:val="left"/>
              <w:rPr>
                <w:sz w:val="24"/>
                <w:szCs w:val="24"/>
              </w:rPr>
            </w:pPr>
            <w:r>
              <w:rPr>
                <w:sz w:val="24"/>
                <w:szCs w:val="24"/>
              </w:rPr>
              <w:t xml:space="preserve">Почтовый адрес: </w:t>
            </w:r>
          </w:p>
          <w:p>
            <w:pPr>
              <w:pStyle w:val="Normal"/>
              <w:widowControl w:val="false"/>
              <w:spacing w:lineRule="auto" w:line="276"/>
              <w:ind w:firstLine="40"/>
              <w:rPr>
                <w:sz w:val="24"/>
                <w:szCs w:val="24"/>
                <w:lang w:eastAsia="ar-SA"/>
              </w:rPr>
            </w:pPr>
            <w:r>
              <w:rPr>
                <w:sz w:val="24"/>
                <w:szCs w:val="24"/>
                <w:lang w:eastAsia="ar-SA"/>
              </w:rPr>
              <w:t>630056, г. Новосибирск, ул.Новоморская,4</w:t>
            </w:r>
          </w:p>
          <w:p>
            <w:pPr>
              <w:pStyle w:val="Normal"/>
              <w:widowControl w:val="false"/>
              <w:spacing w:lineRule="auto" w:line="240"/>
              <w:ind w:hanging="0"/>
              <w:jc w:val="left"/>
              <w:rPr>
                <w:sz w:val="24"/>
                <w:szCs w:val="24"/>
              </w:rPr>
            </w:pPr>
            <w:r>
              <w:rPr>
                <w:sz w:val="24"/>
                <w:szCs w:val="24"/>
              </w:rPr>
              <w:t xml:space="preserve">ОГРН 1042401810494, </w:t>
            </w:r>
          </w:p>
          <w:p>
            <w:pPr>
              <w:pStyle w:val="Normal"/>
              <w:widowControl w:val="false"/>
              <w:spacing w:lineRule="auto" w:line="240"/>
              <w:ind w:hanging="0"/>
              <w:jc w:val="left"/>
              <w:rPr>
                <w:sz w:val="24"/>
                <w:szCs w:val="24"/>
              </w:rPr>
            </w:pPr>
            <w:r>
              <w:rPr>
                <w:sz w:val="24"/>
                <w:szCs w:val="24"/>
              </w:rPr>
              <w:t>ИНН/КПП: 2460066195/540802001</w:t>
            </w:r>
          </w:p>
          <w:p>
            <w:pPr>
              <w:pStyle w:val="Normal"/>
              <w:widowControl w:val="false"/>
              <w:spacing w:lineRule="auto" w:line="240"/>
              <w:ind w:hanging="0"/>
              <w:jc w:val="left"/>
              <w:rPr>
                <w:sz w:val="24"/>
                <w:szCs w:val="24"/>
              </w:rPr>
            </w:pPr>
            <w:r>
              <w:rPr>
                <w:sz w:val="24"/>
                <w:szCs w:val="24"/>
              </w:rPr>
              <w:t>Р/с 407 028 108 440 500 11495 в</w:t>
            </w:r>
          </w:p>
          <w:p>
            <w:pPr>
              <w:pStyle w:val="Normal"/>
              <w:widowControl w:val="false"/>
              <w:spacing w:lineRule="auto" w:line="240"/>
              <w:ind w:hanging="0"/>
              <w:jc w:val="left"/>
              <w:rPr>
                <w:sz w:val="24"/>
                <w:szCs w:val="24"/>
              </w:rPr>
            </w:pPr>
            <w:r>
              <w:rPr>
                <w:sz w:val="24"/>
                <w:szCs w:val="24"/>
              </w:rPr>
              <w:t>Сибирском банке ПАО «Сбербанк»</w:t>
            </w:r>
          </w:p>
          <w:p>
            <w:pPr>
              <w:pStyle w:val="Normal"/>
              <w:widowControl w:val="false"/>
              <w:spacing w:lineRule="auto" w:line="240"/>
              <w:ind w:hanging="0"/>
              <w:jc w:val="left"/>
              <w:rPr>
                <w:sz w:val="24"/>
                <w:szCs w:val="24"/>
              </w:rPr>
            </w:pPr>
            <w:r>
              <w:rPr>
                <w:sz w:val="24"/>
                <w:szCs w:val="24"/>
              </w:rPr>
              <w:t>К/с 301 018 105 000 000 00641</w:t>
            </w:r>
          </w:p>
          <w:p>
            <w:pPr>
              <w:pStyle w:val="Normal"/>
              <w:widowControl w:val="false"/>
              <w:spacing w:lineRule="auto" w:line="240"/>
              <w:ind w:hanging="0"/>
              <w:jc w:val="left"/>
              <w:rPr>
                <w:sz w:val="24"/>
                <w:szCs w:val="24"/>
              </w:rPr>
            </w:pPr>
            <w:r>
              <w:rPr>
                <w:sz w:val="24"/>
                <w:szCs w:val="24"/>
              </w:rPr>
              <w:t>БИК 045 004 641</w:t>
            </w:r>
          </w:p>
          <w:p>
            <w:pPr>
              <w:pStyle w:val="Normal"/>
              <w:widowControl w:val="false"/>
              <w:spacing w:lineRule="auto" w:line="240"/>
              <w:ind w:hanging="0"/>
              <w:jc w:val="left"/>
              <w:rPr>
                <w:sz w:val="24"/>
                <w:szCs w:val="24"/>
              </w:rPr>
            </w:pPr>
            <w:r>
              <w:rPr>
                <w:sz w:val="24"/>
                <w:szCs w:val="24"/>
              </w:rPr>
              <w:t>Тел.: (383) 345-06-30</w:t>
            </w:r>
          </w:p>
          <w:p>
            <w:pPr>
              <w:pStyle w:val="Normal"/>
              <w:widowControl w:val="false"/>
              <w:spacing w:lineRule="auto" w:line="240"/>
              <w:ind w:hanging="0"/>
              <w:jc w:val="left"/>
              <w:rPr>
                <w:sz w:val="24"/>
                <w:szCs w:val="24"/>
              </w:rPr>
            </w:pPr>
            <w:r>
              <w:rPr>
                <w:sz w:val="24"/>
                <w:szCs w:val="24"/>
              </w:rPr>
              <w:t>Факс: (383) 345-35-27</w:t>
            </w:r>
          </w:p>
          <w:p>
            <w:pPr>
              <w:pStyle w:val="Normal"/>
              <w:widowControl w:val="false"/>
              <w:spacing w:lineRule="auto" w:line="240"/>
              <w:ind w:hanging="0"/>
              <w:rPr>
                <w:sz w:val="24"/>
                <w:szCs w:val="24"/>
              </w:rPr>
            </w:pPr>
            <w:r>
              <w:rPr>
                <w:sz w:val="24"/>
                <w:szCs w:val="24"/>
              </w:rPr>
              <w:t xml:space="preserve">Адрес электронной </w:t>
            </w:r>
          </w:p>
          <w:p>
            <w:pPr>
              <w:pStyle w:val="Normal"/>
              <w:widowControl w:val="false"/>
              <w:spacing w:lineRule="auto" w:line="240"/>
              <w:ind w:hanging="0"/>
              <w:rPr>
                <w:sz w:val="24"/>
                <w:szCs w:val="24"/>
              </w:rPr>
            </w:pPr>
            <w:r>
              <w:rPr>
                <w:sz w:val="24"/>
                <w:szCs w:val="24"/>
              </w:rPr>
              <w:t xml:space="preserve">почты: </w:t>
            </w:r>
            <w:hyperlink r:id="rId5">
              <w:r>
                <w:rPr>
                  <w:rStyle w:val="Hyperlink"/>
                  <w:sz w:val="24"/>
                  <w:szCs w:val="24"/>
                </w:rPr>
                <w:t>novges@rushydro.ru</w:t>
              </w:r>
            </w:hyperlink>
          </w:p>
          <w:p>
            <w:pPr>
              <w:pStyle w:val="Normal"/>
              <w:widowControl w:val="false"/>
              <w:spacing w:lineRule="auto" w:line="240"/>
              <w:ind w:hanging="0"/>
              <w:jc w:val="left"/>
              <w:rPr>
                <w:sz w:val="24"/>
                <w:szCs w:val="24"/>
              </w:rPr>
            </w:pPr>
            <w:r>
              <w:rPr>
                <w:sz w:val="24"/>
                <w:szCs w:val="24"/>
              </w:rPr>
            </w:r>
            <w:bookmarkStart w:id="37" w:name="_GoBack"/>
            <w:bookmarkStart w:id="38" w:name="_GoBack"/>
            <w:bookmarkEnd w:id="38"/>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8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hanging="0"/>
              <w:jc w:val="left"/>
              <w:rPr>
                <w:sz w:val="24"/>
                <w:szCs w:val="24"/>
                <w:highlight w:val="lightGray"/>
              </w:rPr>
            </w:pPr>
            <w:r>
              <w:rPr>
                <w:sz w:val="24"/>
                <w:szCs w:val="24"/>
                <w:highlight w:val="lightGray"/>
              </w:rPr>
            </w:r>
          </w:p>
        </w:tc>
        <w:tc>
          <w:tcPr>
            <w:tcW w:w="4786" w:type="dxa"/>
            <w:gridSpan w:val="2"/>
            <w:tcBorders/>
            <w:shd w:color="auto"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r>
              <w:rPr>
                <w:sz w:val="24"/>
                <w:szCs w:val="24"/>
              </w:rPr>
              <w:t xml:space="preserve"> </w:t>
            </w:r>
          </w:p>
          <w:p>
            <w:pPr>
              <w:pStyle w:val="Normal"/>
              <w:widowControl w:val="false"/>
              <w:spacing w:lineRule="auto" w:line="240"/>
              <w:ind w:hanging="0"/>
              <w:jc w:val="left"/>
              <w:rPr>
                <w:sz w:val="24"/>
                <w:szCs w:val="24"/>
              </w:rPr>
            </w:pPr>
            <w:r>
              <w:rPr>
                <w:sz w:val="24"/>
                <w:szCs w:val="24"/>
              </w:rPr>
            </w:r>
          </w:p>
        </w:tc>
        <w:tc>
          <w:tcPr>
            <w:tcW w:w="321" w:type="dxa"/>
            <w:tcBorders/>
            <w:shd w:color="auto" w:fill="auto" w:val="clear"/>
          </w:tcPr>
          <w:p>
            <w:pPr>
              <w:pStyle w:val="Normal"/>
              <w:widowControl w:val="false"/>
              <w:rPr/>
            </w:pPr>
            <w:r>
              <w:rPr/>
            </w:r>
          </w:p>
        </w:tc>
      </w:tr>
    </w:tbl>
    <w:p>
      <w:pPr>
        <w:sectPr>
          <w:headerReference w:type="first" r:id="rId6"/>
          <w:type w:val="nextPage"/>
          <w:pgSz w:w="11906" w:h="16838"/>
          <w:pgMar w:left="1077" w:right="1077" w:gutter="0" w:header="709" w:top="964" w:footer="0" w:bottom="2098"/>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 xml:space="preserve"> </w:t>
      </w:r>
      <w:r>
        <w:rPr>
          <w:sz w:val="22"/>
          <w:szCs w:val="22"/>
        </w:rPr>
        <w:t>Приложение №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СВОДНЫЙ СМЕТНЫЙ РАСЧЕТ </w:t>
      </w:r>
    </w:p>
    <w:p>
      <w:pPr>
        <w:pStyle w:val="Normal"/>
        <w:spacing w:lineRule="auto" w:line="240"/>
        <w:ind w:hanging="0"/>
        <w:jc w:val="center"/>
        <w:rPr>
          <w:b/>
          <w:sz w:val="24"/>
          <w:szCs w:val="24"/>
        </w:rPr>
      </w:pP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3.1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13"/>
        <w:rPr>
          <w:sz w:val="24"/>
          <w:szCs w:val="24"/>
        </w:rPr>
      </w:pPr>
      <w:r>
        <w:rPr>
          <w:iCs/>
          <w:sz w:val="24"/>
          <w:szCs w:val="24"/>
        </w:rPr>
        <w:t>ФОРМА</w:t>
      </w:r>
    </w:p>
    <w:p>
      <w:pPr>
        <w:pStyle w:val="13"/>
        <w:rPr>
          <w:i/>
          <w:i/>
          <w:iCs/>
          <w:sz w:val="24"/>
          <w:szCs w:val="24"/>
        </w:rPr>
      </w:pPr>
      <w:r>
        <w:rPr>
          <w:sz w:val="24"/>
          <w:szCs w:val="24"/>
        </w:rPr>
        <w:t>Акта сдачи-приемки места производства Работ и / или</w:t>
      </w:r>
      <w:r>
        <w:rPr>
          <w:sz w:val="24"/>
        </w:rPr>
        <w:t xml:space="preserve"> места (помещения)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b w:val="false"/>
                <w:i/>
                <w:i/>
                <w:iCs/>
              </w:rPr>
            </w:pPr>
            <w:r>
              <w:rPr>
                <w:b w:val="false"/>
              </w:rPr>
              <w:t>сдачи-приемки места производства Работ</w:t>
            </w:r>
            <w:r>
              <w:rPr/>
              <w:t xml:space="preserve"> </w:t>
            </w:r>
            <w:r>
              <w:rPr>
                <w:b w:val="false"/>
              </w:rPr>
              <w:t>и / или места (помещения) для складирования Материально-технических ресурсов</w:t>
            </w:r>
            <w:r>
              <w:rPr/>
              <w:t xml:space="preserve"> </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szCs w:val="22"/>
              </w:rPr>
            </w:pPr>
            <w:r>
              <w:rPr>
                <w:i/>
                <w:sz w:val="22"/>
                <w:szCs w:val="22"/>
              </w:rPr>
              <w:t>(указать конкретные претензии или указать «не имеются»)</w:t>
            </w:r>
            <w:r>
              <w:rPr>
                <w:sz w:val="22"/>
                <w:szCs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3.2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pPr>
      <w:r>
        <w:rPr/>
      </w:r>
    </w:p>
    <w:p>
      <w:pPr>
        <w:pStyle w:val="Normal"/>
        <w:spacing w:lineRule="auto" w:line="240"/>
        <w:ind w:left="5103" w:hanging="0"/>
        <w:rPr/>
      </w:pPr>
      <w:r>
        <w:rPr/>
      </w: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705"/>
        <w:gridCol w:w="1467"/>
        <w:gridCol w:w="1321"/>
        <w:gridCol w:w="1593"/>
        <w:gridCol w:w="1187"/>
        <w:gridCol w:w="1322"/>
        <w:gridCol w:w="1655"/>
      </w:tblGrid>
      <w:tr>
        <w:trPr>
          <w:trHeight w:val="2142"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67"/>
        <w:gridCol w:w="5969"/>
      </w:tblGrid>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bookmarkStart w:id="39" w:name="RANGE!A1%253AAG42"/>
      <w:bookmarkStart w:id="40" w:name="RANGE!A1%253AAG40"/>
      <w:bookmarkStart w:id="41" w:name="RANGE!A1%253AAG42"/>
      <w:bookmarkStart w:id="42" w:name="RANGE!A1%253AAG40"/>
      <w:bookmarkEnd w:id="41"/>
      <w:bookmarkEnd w:id="42"/>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Параметры и условия доступа к ИС Maximo</w:t>
      </w:r>
    </w:p>
    <w:p>
      <w:pPr>
        <w:pStyle w:val="Normal"/>
        <w:spacing w:lineRule="auto" w:line="240"/>
        <w:ind w:hanging="0"/>
        <w:rPr>
          <w:b/>
          <w:bCs/>
          <w:sz w:val="24"/>
          <w:szCs w:val="24"/>
        </w:rPr>
      </w:pPr>
      <w:r>
        <w:rPr>
          <w:b/>
          <w:bCs/>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1831"/>
        <w:gridCol w:w="7805"/>
      </w:tblGrid>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Используемые термины, определения и сокращения</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Информационная система (ИС)</w:t>
            </w:r>
          </w:p>
          <w:p>
            <w:pPr>
              <w:pStyle w:val="Normal"/>
              <w:widowControl w:val="false"/>
              <w:snapToGrid w:val="false"/>
              <w:spacing w:lineRule="auto" w:line="240"/>
              <w:ind w:hanging="0"/>
              <w:rPr>
                <w:b/>
                <w:sz w:val="24"/>
                <w:szCs w:val="24"/>
              </w:rPr>
            </w:pPr>
            <w:r>
              <w:rPr>
                <w:b/>
                <w:sz w:val="24"/>
                <w:szCs w:val="24"/>
              </w:rPr>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 xml:space="preserve">Информационный сервис </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 со стороны внутреннего или внешнего ИТ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trPr>
          <w:trHeight w:val="462" w:hRule="atLeast"/>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Бизнес-сервис (БС).</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УФАП</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Управление фондами и активами предприятия</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 xml:space="preserve">Сервис «ИС УФАП», </w:t>
            </w:r>
          </w:p>
          <w:p>
            <w:pPr>
              <w:pStyle w:val="Normal"/>
              <w:widowControl w:val="false"/>
              <w:snapToGrid w:val="false"/>
              <w:spacing w:lineRule="auto" w:line="240"/>
              <w:ind w:hanging="0"/>
              <w:rPr>
                <w:b/>
                <w:sz w:val="24"/>
                <w:szCs w:val="24"/>
              </w:rPr>
            </w:pPr>
            <w:r>
              <w:rPr>
                <w:b/>
                <w:sz w:val="24"/>
                <w:szCs w:val="24"/>
              </w:rPr>
              <w:t xml:space="preserve">Сервис </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Бизнес-сервис, включающий в себя ИС </w:t>
            </w:r>
            <w:r>
              <w:rPr>
                <w:sz w:val="24"/>
                <w:szCs w:val="24"/>
                <w:lang w:val="en-US"/>
              </w:rPr>
              <w:t>Maximo</w:t>
            </w:r>
            <w:r>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Pr>
                <w:sz w:val="24"/>
                <w:szCs w:val="24"/>
                <w:lang w:val="en-US"/>
              </w:rPr>
              <w:t>Maximo</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Пользователь</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ДСЗ</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Дирекция служб заказчика ПАО «РусГидро»</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СПП</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Служба поддержки пользователей ПАО «РусГидро»</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АРМ ИС УФАП</w:t>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trPr/>
        <w:tc>
          <w:tcPr>
            <w:tcW w:w="183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780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Назначение документа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b/>
                <w:sz w:val="24"/>
                <w:szCs w:val="24"/>
              </w:rPr>
              <w:t>Ответственные лица: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Ответственные лица определяются Сторонами согласно условиям, определенным в Договоре подряда.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Условия и порядок предоставления Сервиса «ИС УФАП»</w:t>
            </w:r>
          </w:p>
        </w:tc>
      </w:tr>
      <w:tr>
        <w:trPr>
          <w:trHeight w:val="58"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Срок действия Сервиса «ИС УФАП»</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 «ИС УФАП»</w:t>
            </w:r>
            <w:r>
              <w:rPr>
                <w:b/>
                <w:sz w:val="24"/>
                <w:szCs w:val="24"/>
              </w:rPr>
              <w:t xml:space="preserve"> </w:t>
            </w:r>
            <w:r>
              <w:rPr>
                <w:sz w:val="24"/>
                <w:szCs w:val="24"/>
              </w:rPr>
              <w:t>предоставляется Заказчиком Подрядчику на срок действия Договора подряда.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Права и обязанности Заказчика:</w:t>
            </w:r>
          </w:p>
        </w:tc>
      </w:tr>
      <w:tr>
        <w:trPr>
          <w:trHeight w:val="246"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u w:val="single"/>
              </w:rPr>
            </w:pPr>
            <w:r>
              <w:rPr>
                <w:sz w:val="24"/>
                <w:szCs w:val="24"/>
                <w:u w:val="single"/>
              </w:rPr>
              <w:t>Права:</w:t>
            </w:r>
          </w:p>
        </w:tc>
      </w:tr>
      <w:tr>
        <w:trPr>
          <w:trHeight w:val="229"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Регламентировать порядок организации доступа и работы Пользователей в ИС УФАП</w:t>
            </w:r>
          </w:p>
        </w:tc>
      </w:tr>
      <w:tr>
        <w:trPr>
          <w:trHeight w:val="181"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Требовать от Подрядчика соблюдения требований корпоративных ИТ-стандартов</w:t>
            </w:r>
          </w:p>
        </w:tc>
      </w:tr>
      <w:tr>
        <w:trPr>
          <w:trHeight w:val="181"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Осуществлять тестирование персонала Подрядчика в части владения знаниями и навыками работы в ИС УФАП.</w:t>
            </w:r>
          </w:p>
        </w:tc>
      </w:tr>
      <w:tr>
        <w:trPr>
          <w:trHeight w:val="20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Оказывать Подрядчику по его просьбе содействие в организации обучения Пользователей. </w:t>
            </w:r>
          </w:p>
        </w:tc>
      </w:tr>
      <w:tr>
        <w:trPr>
          <w:trHeight w:val="20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trPr>
          <w:trHeight w:val="181"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Представлять интересы Подрядчика при его взаимодействии с разработчиками ИС УФАП </w:t>
            </w:r>
          </w:p>
        </w:tc>
      </w:tr>
      <w:tr>
        <w:trPr>
          <w:trHeight w:val="20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u w:val="single"/>
              </w:rPr>
            </w:pPr>
            <w:r>
              <w:rPr>
                <w:sz w:val="24"/>
                <w:szCs w:val="24"/>
                <w:u w:val="single"/>
              </w:rPr>
              <w:t xml:space="preserve">Обязанности: </w:t>
            </w:r>
          </w:p>
        </w:tc>
      </w:tr>
      <w:tr>
        <w:trPr>
          <w:trHeight w:val="112"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Оказывать Сервис профессионально, в корректной, уважительной манере.</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Оказывать Сервис с параметрами, не хуже, чем указано в разделе «Параметры Сервиса» настоящих Правил.</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Обеспечить Подрядчика комплектом пользовательской документации, согласно списку, указанному в Таблице 4.</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Рассматривать и давать мотивированный ответ на запросы Подрядчика об организации дополнительных АРМ ИС УФАП для персонала Подрядчика.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Оказывать содействие Подрядчику в приобретении последним пользовательских лицензий ИС УФАП.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Рассматривать и давать мотивированный ответ на предложения Подрядчика по улучшению качества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В письменной форме подтверждать либо аргументировано отклонять информацию Подрядчика о времени недоступности Сервиса.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Права и обязанности Подрядчика:</w:t>
            </w:r>
          </w:p>
        </w:tc>
      </w:tr>
      <w:tr>
        <w:trPr>
          <w:trHeight w:val="246"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u w:val="single"/>
              </w:rPr>
            </w:pPr>
            <w:r>
              <w:rPr>
                <w:sz w:val="24"/>
                <w:szCs w:val="24"/>
                <w:u w:val="single"/>
              </w:rPr>
              <w:t>Права: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Получать поддержку в СПП Заказчика по вопросам, касающимся качества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Требовать от Заказчика безвозмездного предоставления доступа персонала Подрядчика как минимум к одному АРМ ИС УФАП на срок действия Договора подряда.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Самостоятельно приобретать пользовательские лицензии на ИС УФАП у официальных представителей компании – разработчика ИС УФАП.</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Делегировать Заказчику право представлять интересы Подрядчика при взаимодействии с разработчиками ИС УФАП</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trPr>
          <w:trHeight w:val="342"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Направлять Заказчику предложения по улучшению качества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u w:val="single"/>
              </w:rPr>
            </w:pPr>
            <w:r>
              <w:rPr>
                <w:sz w:val="24"/>
                <w:szCs w:val="24"/>
                <w:u w:val="single"/>
              </w:rPr>
              <w:t>Обязанности:</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Взаимодействовать с представителями Заказчика в корректной, уважительной манере.</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Выполнять требования корпоративных ИТ - стандартов Заказчика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Обеспечить изучение Пользователями документации, перечисленной в Таблице 4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Microsoft Project 2003.</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Обеспечить наличие у Пользователей базовых навыков использования Сервиса путем организации вводного обучения.</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Принимать все зависящие от него меры по содействию специалистам Заказчика в проведении текущего обучения Пользователей.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Обеспечить обращение Пользователей по вопросам поддержки Сервиса только через СПП. Не допускать прямых первоначальных контактов Пользователей с ИТ - специалистами Заказчика.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После регистрации обращения в СПП принимать все зависящие от него меры по содействию СПП в работах, связанных с данным обращением.</w:t>
            </w:r>
          </w:p>
        </w:tc>
      </w:tr>
      <w:tr>
        <w:trPr>
          <w:trHeight w:val="286"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 xml:space="preserve">Предоставлять в СПП всю информацию, необходимую для выполнения обращения. </w:t>
            </w:r>
          </w:p>
        </w:tc>
      </w:tr>
      <w:tr>
        <w:trPr>
          <w:trHeight w:val="34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Не препятствовать выполнению стандартных регламентных процедур: обновление ПО, исправление ошибок ПО и др.</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Риски, катастрофы, чрезвычайные ситуации</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trPr>
          <w:trHeight w:val="236"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r>
          </w:p>
          <w:p>
            <w:pPr>
              <w:pStyle w:val="Normal"/>
              <w:widowControl w:val="false"/>
              <w:snapToGrid w:val="false"/>
              <w:spacing w:lineRule="auto" w:line="240"/>
              <w:ind w:hanging="0"/>
              <w:rPr>
                <w:b/>
                <w:sz w:val="24"/>
                <w:szCs w:val="24"/>
              </w:rPr>
            </w:pPr>
            <w:r>
              <w:rPr>
                <w:b/>
                <w:sz w:val="24"/>
                <w:szCs w:val="24"/>
              </w:rPr>
              <w:t>Описание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Описание</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 «ИС УФАП» является ИТ - сервисом по автоматизации процесса управления фондами и активами ПАО «РусГидро» и управляемых объектов.</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b/>
                <w:sz w:val="24"/>
                <w:szCs w:val="24"/>
              </w:rPr>
              <w:t>Пользователи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5"/>
              </w:numPr>
              <w:snapToGrid w:val="false"/>
              <w:spacing w:lineRule="auto" w:line="240"/>
              <w:ind w:left="0" w:hanging="0"/>
              <w:jc w:val="left"/>
              <w:textAlignment w:val="baseline"/>
              <w:rPr>
                <w:sz w:val="24"/>
                <w:szCs w:val="24"/>
              </w:rPr>
            </w:pPr>
            <w:r>
              <w:rPr>
                <w:sz w:val="24"/>
                <w:szCs w:val="24"/>
              </w:rPr>
              <w:t>Пользователями Сервиса могут быть: штатные сотрудники Подрядчика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trPr>
          <w:trHeight w:val="365"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i/>
                <w:i/>
                <w:color w:val="808080"/>
                <w:sz w:val="24"/>
                <w:szCs w:val="24"/>
              </w:rPr>
            </w:pPr>
            <w:r>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trPr>
          <w:trHeight w:val="58"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Функциональность</w:t>
            </w:r>
          </w:p>
        </w:tc>
      </w:tr>
      <w:tr>
        <w:trPr>
          <w:trHeight w:val="27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sz w:val="24"/>
                <w:szCs w:val="24"/>
              </w:rPr>
              <w:t>В составе Сервиса предоставляется:</w:t>
            </w:r>
          </w:p>
        </w:tc>
      </w:tr>
      <w:tr>
        <w:trPr>
          <w:trHeight w:val="231"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возможность использования единой базы данных по Объектам Заказчика</w:t>
            </w:r>
          </w:p>
        </w:tc>
      </w:tr>
      <w:tr>
        <w:trPr>
          <w:trHeight w:val="49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возможность планирования, проведения, контроля и анализа воздействий на обслуживаемые Объекты</w:t>
            </w:r>
          </w:p>
        </w:tc>
      </w:tr>
      <w:tr>
        <w:trPr>
          <w:trHeight w:val="235"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возможность накопления и консолидирования данных отчетности по обслуживаемым Объектам.</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автоматизация выполнения процедур регистрации и отслеживания дефектов Объектов</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автоматизация складского учета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автоматизация процессов заказа и закупки МТР</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В состав Сервиса не входит:</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обслуживание или поддержка аппаратного обеспечения Подрядчика (персональные компьютеры, серверы, сетевые устройства и др.)</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установка, обслуживание или поддержка программного обеспечения (ПО) рабочих мест Пользователей, за исключением ПО, необходимого для потребления Сервиса и указанного в Таблице 2.</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резервное копирование информации, хранящейся на внутренних жестких дисках Пользователей;</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tabs>
                <w:tab w:val="clear" w:pos="709"/>
                <w:tab w:val="left" w:pos="708" w:leader="none"/>
              </w:tabs>
              <w:snapToGrid w:val="false"/>
              <w:spacing w:lineRule="auto" w:line="240"/>
              <w:ind w:hanging="0"/>
              <w:outlineLvl w:val="0"/>
              <w:rPr>
                <w:sz w:val="24"/>
                <w:szCs w:val="24"/>
              </w:rPr>
            </w:pPr>
            <w:r>
              <w:rPr>
                <w:b/>
                <w:sz w:val="24"/>
                <w:szCs w:val="24"/>
              </w:rPr>
              <w:t>Параметры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 предоставляется с одним уровнем – «Базовый» (Б)</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Сервис предоставляется 24 часа в сутки 7 дней в неделю.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Сервис доступен 24 часа в сутки 7 дней в неделю, за исключением времени проведения профилактических работ.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Коэффициент доступности, определяемый как отношение времени фактической доступности Сервиса к времени заявленной доступности: не ниже 80% в течение месяца. </w:t>
            </w:r>
          </w:p>
          <w:p>
            <w:pPr>
              <w:pStyle w:val="Normal"/>
              <w:widowControl w:val="false"/>
              <w:snapToGrid w:val="false"/>
              <w:spacing w:lineRule="auto" w:line="240"/>
              <w:ind w:hanging="0"/>
              <w:rPr>
                <w:sz w:val="24"/>
                <w:szCs w:val="24"/>
              </w:rPr>
            </w:pPr>
            <w:r>
              <w:rPr>
                <w:sz w:val="24"/>
                <w:szCs w:val="24"/>
              </w:rPr>
              <w:t>При этом Сервис считается доступным, если время восстановления Сервиса не превышает 60 минут.</w:t>
            </w:r>
          </w:p>
        </w:tc>
      </w:tr>
      <w:tr>
        <w:trPr>
          <w:trHeight w:val="52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trPr>
          <w:trHeight w:val="52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Допускается приостановление предоставления сервиса для проведения профилактических работ:</w:t>
            </w:r>
          </w:p>
          <w:p>
            <w:pPr>
              <w:pStyle w:val="ListParagraph"/>
              <w:widowControl w:val="false"/>
              <w:numPr>
                <w:ilvl w:val="0"/>
                <w:numId w:val="20"/>
              </w:numPr>
              <w:snapToGrid w:val="false"/>
              <w:ind w:left="426" w:hanging="360"/>
              <w:rPr/>
            </w:pPr>
            <w:r>
              <w:rPr/>
              <w:t>Еженедельные работы – 1 раз в неделю на 4 часа.</w:t>
            </w:r>
          </w:p>
          <w:p>
            <w:pPr>
              <w:pStyle w:val="ListParagraph"/>
              <w:widowControl w:val="false"/>
              <w:numPr>
                <w:ilvl w:val="0"/>
                <w:numId w:val="20"/>
              </w:numPr>
              <w:snapToGrid w:val="false"/>
              <w:ind w:left="426" w:hanging="360"/>
              <w:rPr/>
            </w:pPr>
            <w:r>
              <w:rPr/>
              <w:t>Ежемесячные работы – 1 раз в месяц на 4 часа.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
        </w:tc>
      </w:tr>
      <w:tr>
        <w:trPr>
          <w:trHeight w:val="28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b/>
                <w:sz w:val="24"/>
                <w:szCs w:val="24"/>
              </w:rPr>
              <w:t>Параметры надежности</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20"/>
              </w:numPr>
              <w:snapToGrid w:val="false"/>
              <w:ind w:left="426" w:hanging="360"/>
              <w:rPr/>
            </w:pPr>
            <w:r>
              <w:rPr/>
              <w:t>Количество сбоев в течение рабочего дня не должно превышать 10</w:t>
            </w:r>
          </w:p>
          <w:p>
            <w:pPr>
              <w:pStyle w:val="ListParagraph"/>
              <w:widowControl w:val="false"/>
              <w:numPr>
                <w:ilvl w:val="0"/>
                <w:numId w:val="20"/>
              </w:numPr>
              <w:snapToGrid w:val="false"/>
              <w:ind w:left="426" w:hanging="360"/>
              <w:rPr/>
            </w:pPr>
            <w:r>
              <w:rPr/>
              <w:t>Максимально допускаемый объем повторной работы в случае сбоя – 8 часов.</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 обеспечивает возможность конвертирования документов и отчетных форм УФАП Maximo в форматы xls  (Microsoft Excel) и pdf (Adobe Acrobat)</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right"/>
              <w:rPr>
                <w:b/>
                <w:sz w:val="24"/>
                <w:szCs w:val="24"/>
              </w:rPr>
            </w:pPr>
            <w:r>
              <w:rPr>
                <w:b/>
                <w:sz w:val="24"/>
                <w:szCs w:val="24"/>
              </w:rPr>
              <w:t>Таблица 1.</w:t>
            </w:r>
          </w:p>
        </w:tc>
      </w:tr>
      <w:tr>
        <w:trPr/>
        <w:tc>
          <w:tcPr>
            <w:tcW w:w="9636" w:type="dxa"/>
            <w:gridSpan w:val="2"/>
            <w:tcBorders>
              <w:top w:val="single" w:sz="4" w:space="0" w:color="000000"/>
              <w:left w:val="single" w:sz="4" w:space="0" w:color="000000"/>
              <w:bottom w:val="single" w:sz="4" w:space="0" w:color="000000"/>
              <w:right w:val="single" w:sz="4" w:space="0" w:color="000000"/>
            </w:tcBorders>
          </w:tcPr>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1278"/>
              <w:gridCol w:w="5377"/>
              <w:gridCol w:w="2766"/>
            </w:tblGrid>
            <w:tr>
              <w:trPr>
                <w:cantSplit w:val="true"/>
              </w:trPr>
              <w:tc>
                <w:tcPr>
                  <w:tcW w:w="6655" w:type="dxa"/>
                  <w:gridSpan w:val="2"/>
                  <w:tcBorders>
                    <w:top w:val="single" w:sz="4" w:space="0" w:color="000000"/>
                    <w:left w:val="single" w:sz="4" w:space="0" w:color="000000"/>
                    <w:bottom w:val="single" w:sz="8" w:space="0" w:color="000000"/>
                    <w:right w:val="single" w:sz="4" w:space="0" w:color="000000"/>
                  </w:tcBorders>
                </w:tcPr>
                <w:p>
                  <w:pPr>
                    <w:pStyle w:val="Normal"/>
                    <w:widowControl w:val="false"/>
                    <w:snapToGrid w:val="false"/>
                    <w:spacing w:lineRule="auto" w:line="240"/>
                    <w:ind w:hanging="0"/>
                    <w:jc w:val="center"/>
                    <w:rPr>
                      <w:b/>
                      <w:bCs/>
                      <w:sz w:val="24"/>
                      <w:szCs w:val="24"/>
                    </w:rPr>
                  </w:pPr>
                  <w:r>
                    <w:rPr>
                      <w:b/>
                      <w:bCs/>
                      <w:sz w:val="24"/>
                      <w:szCs w:val="24"/>
                    </w:rPr>
                    <w:t>Влияние</w:t>
                  </w:r>
                </w:p>
              </w:tc>
              <w:tc>
                <w:tcPr>
                  <w:tcW w:w="2766" w:type="dxa"/>
                  <w:vMerge w:val="restart"/>
                  <w:tcBorders>
                    <w:top w:val="single" w:sz="8" w:space="0" w:color="000000"/>
                    <w:left w:val="single" w:sz="4" w:space="0" w:color="000000"/>
                    <w:bottom w:val="single" w:sz="8" w:space="0" w:color="000000"/>
                    <w:right w:val="single" w:sz="8" w:space="0" w:color="000000"/>
                  </w:tcBorders>
                </w:tcPr>
                <w:p>
                  <w:pPr>
                    <w:pStyle w:val="Normal"/>
                    <w:widowControl w:val="false"/>
                    <w:snapToGrid w:val="false"/>
                    <w:spacing w:lineRule="auto" w:line="240"/>
                    <w:ind w:hanging="0"/>
                    <w:jc w:val="center"/>
                    <w:rPr>
                      <w:b/>
                      <w:bCs/>
                      <w:sz w:val="24"/>
                      <w:szCs w:val="24"/>
                    </w:rPr>
                  </w:pPr>
                  <w:r>
                    <w:rPr>
                      <w:b/>
                      <w:bCs/>
                      <w:sz w:val="24"/>
                      <w:szCs w:val="24"/>
                    </w:rPr>
                    <w:t>Время устранения (Приоритет)</w:t>
                  </w:r>
                </w:p>
              </w:tc>
            </w:tr>
            <w:tr>
              <w:trPr>
                <w:cantSplit w:val="true"/>
              </w:trPr>
              <w:tc>
                <w:tcPr>
                  <w:tcW w:w="1278" w:type="dxa"/>
                  <w:tcBorders>
                    <w:left w:val="single" w:sz="4" w:space="0" w:color="000000"/>
                    <w:bottom w:val="single" w:sz="8" w:space="0" w:color="000000"/>
                    <w:right w:val="single" w:sz="8" w:space="0" w:color="000000"/>
                  </w:tcBorders>
                </w:tcPr>
                <w:p>
                  <w:pPr>
                    <w:pStyle w:val="Normal"/>
                    <w:widowControl w:val="false"/>
                    <w:snapToGrid w:val="false"/>
                    <w:spacing w:lineRule="auto" w:line="240"/>
                    <w:ind w:hanging="0"/>
                    <w:jc w:val="center"/>
                    <w:rPr>
                      <w:b/>
                      <w:bCs/>
                      <w:sz w:val="24"/>
                      <w:szCs w:val="24"/>
                    </w:rPr>
                  </w:pPr>
                  <w:r>
                    <w:rPr>
                      <w:b/>
                      <w:bCs/>
                      <w:sz w:val="24"/>
                      <w:szCs w:val="24"/>
                    </w:rPr>
                    <w:t xml:space="preserve">Уровень </w:t>
                  </w:r>
                </w:p>
              </w:tc>
              <w:tc>
                <w:tcPr>
                  <w:tcW w:w="5377" w:type="dxa"/>
                  <w:tcBorders>
                    <w:bottom w:val="single" w:sz="8" w:space="0" w:color="000000"/>
                    <w:right w:val="single" w:sz="4" w:space="0" w:color="000000"/>
                  </w:tcBorders>
                </w:tcPr>
                <w:p>
                  <w:pPr>
                    <w:pStyle w:val="Normal"/>
                    <w:widowControl w:val="false"/>
                    <w:snapToGrid w:val="false"/>
                    <w:spacing w:lineRule="auto" w:line="240"/>
                    <w:ind w:hanging="0"/>
                    <w:jc w:val="center"/>
                    <w:rPr>
                      <w:b/>
                      <w:bCs/>
                      <w:sz w:val="24"/>
                      <w:szCs w:val="24"/>
                    </w:rPr>
                  </w:pPr>
                  <w:r>
                    <w:rPr>
                      <w:b/>
                      <w:bCs/>
                      <w:sz w:val="24"/>
                      <w:szCs w:val="24"/>
                    </w:rPr>
                    <w:t>Определение</w:t>
                  </w:r>
                </w:p>
              </w:tc>
              <w:tc>
                <w:tcPr>
                  <w:tcW w:w="2766" w:type="dxa"/>
                  <w:vMerge w:val="continue"/>
                  <w:tcBorders>
                    <w:top w:val="single" w:sz="8" w:space="0" w:color="000000"/>
                    <w:left w:val="single" w:sz="4" w:space="0" w:color="000000"/>
                    <w:bottom w:val="single" w:sz="8" w:space="0" w:color="000000"/>
                    <w:right w:val="single" w:sz="8" w:space="0" w:color="000000"/>
                  </w:tcBorders>
                  <w:vAlign w:val="center"/>
                </w:tcPr>
                <w:p>
                  <w:pPr>
                    <w:pStyle w:val="Normal"/>
                    <w:widowControl w:val="false"/>
                    <w:spacing w:lineRule="auto" w:line="240"/>
                    <w:ind w:hanging="0"/>
                    <w:jc w:val="left"/>
                    <w:rPr>
                      <w:b/>
                      <w:bCs/>
                      <w:sz w:val="24"/>
                      <w:szCs w:val="24"/>
                    </w:rPr>
                  </w:pPr>
                  <w:r>
                    <w:rPr>
                      <w:b/>
                      <w:bCs/>
                      <w:sz w:val="24"/>
                      <w:szCs w:val="24"/>
                    </w:rPr>
                  </w:r>
                </w:p>
              </w:tc>
            </w:tr>
            <w:tr>
              <w:trPr>
                <w:cantSplit w:val="true"/>
              </w:trPr>
              <w:tc>
                <w:tcPr>
                  <w:tcW w:w="1278"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rPr>
                      <w:sz w:val="24"/>
                      <w:szCs w:val="24"/>
                    </w:rPr>
                  </w:pPr>
                  <w:r>
                    <w:rPr>
                      <w:sz w:val="24"/>
                      <w:szCs w:val="24"/>
                    </w:rPr>
                    <w:t>Нет</w:t>
                  </w:r>
                </w:p>
              </w:tc>
              <w:tc>
                <w:tcPr>
                  <w:tcW w:w="5377" w:type="dxa"/>
                  <w:tcBorders>
                    <w:bottom w:val="single" w:sz="8" w:space="0" w:color="000000"/>
                    <w:right w:val="single" w:sz="4" w:space="0" w:color="000000"/>
                  </w:tcBorders>
                  <w:vAlign w:val="center"/>
                </w:tcPr>
                <w:p>
                  <w:pPr>
                    <w:pStyle w:val="Normal"/>
                    <w:widowControl w:val="false"/>
                    <w:snapToGrid w:val="false"/>
                    <w:spacing w:lineRule="auto" w:line="240"/>
                    <w:ind w:hanging="0"/>
                    <w:rPr>
                      <w:sz w:val="24"/>
                      <w:szCs w:val="24"/>
                    </w:rPr>
                  </w:pPr>
                  <w:r>
                    <w:rPr>
                      <w:sz w:val="24"/>
                      <w:szCs w:val="24"/>
                    </w:rPr>
                    <w:t>Можно продолжать работу</w:t>
                  </w:r>
                </w:p>
              </w:tc>
              <w:tc>
                <w:tcPr>
                  <w:tcW w:w="2766"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jc w:val="center"/>
                    <w:rPr>
                      <w:sz w:val="24"/>
                      <w:szCs w:val="24"/>
                    </w:rPr>
                  </w:pPr>
                  <w:r>
                    <w:rPr>
                      <w:sz w:val="24"/>
                      <w:szCs w:val="24"/>
                    </w:rPr>
                    <w:t>72 часа (4)</w:t>
                  </w:r>
                </w:p>
              </w:tc>
            </w:tr>
            <w:tr>
              <w:trPr>
                <w:cantSplit w:val="true"/>
              </w:trPr>
              <w:tc>
                <w:tcPr>
                  <w:tcW w:w="1278"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rPr>
                      <w:sz w:val="24"/>
                      <w:szCs w:val="24"/>
                    </w:rPr>
                  </w:pPr>
                  <w:r>
                    <w:rPr>
                      <w:sz w:val="24"/>
                      <w:szCs w:val="24"/>
                    </w:rPr>
                    <w:t>Низкий</w:t>
                  </w:r>
                </w:p>
              </w:tc>
              <w:tc>
                <w:tcPr>
                  <w:tcW w:w="5377" w:type="dxa"/>
                  <w:tcBorders>
                    <w:bottom w:val="single" w:sz="8" w:space="0" w:color="000000"/>
                    <w:right w:val="single" w:sz="4" w:space="0" w:color="000000"/>
                  </w:tcBorders>
                  <w:vAlign w:val="center"/>
                </w:tcPr>
                <w:p>
                  <w:pPr>
                    <w:pStyle w:val="Normal"/>
                    <w:widowControl w:val="false"/>
                    <w:snapToGrid w:val="false"/>
                    <w:spacing w:lineRule="auto" w:line="240"/>
                    <w:ind w:hanging="0"/>
                    <w:rPr>
                      <w:sz w:val="24"/>
                      <w:szCs w:val="24"/>
                    </w:rPr>
                  </w:pPr>
                  <w:r>
                    <w:rPr>
                      <w:sz w:val="24"/>
                      <w:szCs w:val="24"/>
                    </w:rPr>
                    <w:t>Не может работать один сотрудник</w:t>
                  </w:r>
                </w:p>
              </w:tc>
              <w:tc>
                <w:tcPr>
                  <w:tcW w:w="2766"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jc w:val="center"/>
                    <w:rPr>
                      <w:sz w:val="24"/>
                      <w:szCs w:val="24"/>
                    </w:rPr>
                  </w:pPr>
                  <w:r>
                    <w:rPr>
                      <w:sz w:val="24"/>
                      <w:szCs w:val="24"/>
                    </w:rPr>
                    <w:t>24 часа (3)</w:t>
                  </w:r>
                </w:p>
              </w:tc>
            </w:tr>
            <w:tr>
              <w:trPr>
                <w:cantSplit w:val="true"/>
              </w:trPr>
              <w:tc>
                <w:tcPr>
                  <w:tcW w:w="1278"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rPr>
                      <w:sz w:val="24"/>
                      <w:szCs w:val="24"/>
                    </w:rPr>
                  </w:pPr>
                  <w:r>
                    <w:rPr>
                      <w:sz w:val="24"/>
                      <w:szCs w:val="24"/>
                    </w:rPr>
                    <w:t>Средний</w:t>
                  </w:r>
                </w:p>
              </w:tc>
              <w:tc>
                <w:tcPr>
                  <w:tcW w:w="5377" w:type="dxa"/>
                  <w:tcBorders>
                    <w:bottom w:val="single" w:sz="8" w:space="0" w:color="000000"/>
                    <w:right w:val="single" w:sz="4" w:space="0" w:color="000000"/>
                  </w:tcBorders>
                  <w:vAlign w:val="center"/>
                </w:tcPr>
                <w:p>
                  <w:pPr>
                    <w:pStyle w:val="Normal"/>
                    <w:widowControl w:val="false"/>
                    <w:snapToGrid w:val="false"/>
                    <w:spacing w:lineRule="auto" w:line="240"/>
                    <w:ind w:hanging="0"/>
                    <w:rPr>
                      <w:sz w:val="24"/>
                      <w:szCs w:val="24"/>
                    </w:rPr>
                  </w:pPr>
                  <w:r>
                    <w:rPr>
                      <w:sz w:val="24"/>
                      <w:szCs w:val="24"/>
                    </w:rPr>
                    <w:t>Не может выполняться технологическая операция</w:t>
                  </w:r>
                </w:p>
              </w:tc>
              <w:tc>
                <w:tcPr>
                  <w:tcW w:w="2766"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jc w:val="center"/>
                    <w:rPr>
                      <w:sz w:val="24"/>
                      <w:szCs w:val="24"/>
                    </w:rPr>
                  </w:pPr>
                  <w:r>
                    <w:rPr>
                      <w:sz w:val="24"/>
                      <w:szCs w:val="24"/>
                    </w:rPr>
                    <w:t xml:space="preserve">    </w:t>
                  </w:r>
                  <w:r>
                    <w:rPr>
                      <w:sz w:val="24"/>
                      <w:szCs w:val="24"/>
                    </w:rPr>
                    <w:t>8 часов (2)</w:t>
                  </w:r>
                </w:p>
              </w:tc>
            </w:tr>
            <w:tr>
              <w:trPr>
                <w:cantSplit w:val="true"/>
              </w:trPr>
              <w:tc>
                <w:tcPr>
                  <w:tcW w:w="1278" w:type="dxa"/>
                  <w:tcBorders>
                    <w:left w:val="single" w:sz="4" w:space="0" w:color="000000"/>
                    <w:bottom w:val="single" w:sz="4" w:space="0" w:color="000000"/>
                    <w:right w:val="single" w:sz="8" w:space="0" w:color="000000"/>
                  </w:tcBorders>
                  <w:vAlign w:val="center"/>
                </w:tcPr>
                <w:p>
                  <w:pPr>
                    <w:pStyle w:val="Normal"/>
                    <w:widowControl w:val="false"/>
                    <w:snapToGrid w:val="false"/>
                    <w:spacing w:lineRule="auto" w:line="240"/>
                    <w:ind w:hanging="0"/>
                    <w:rPr>
                      <w:sz w:val="24"/>
                      <w:szCs w:val="24"/>
                    </w:rPr>
                  </w:pPr>
                  <w:r>
                    <w:rPr>
                      <w:sz w:val="24"/>
                      <w:szCs w:val="24"/>
                    </w:rPr>
                    <w:t>Высокий</w:t>
                  </w:r>
                </w:p>
              </w:tc>
              <w:tc>
                <w:tcPr>
                  <w:tcW w:w="5377" w:type="dxa"/>
                  <w:tcBorders>
                    <w:bottom w:val="single" w:sz="4" w:space="0" w:color="000000"/>
                    <w:right w:val="single" w:sz="4" w:space="0" w:color="000000"/>
                  </w:tcBorders>
                  <w:vAlign w:val="center"/>
                </w:tcPr>
                <w:p>
                  <w:pPr>
                    <w:pStyle w:val="Normal"/>
                    <w:widowControl w:val="false"/>
                    <w:snapToGrid w:val="false"/>
                    <w:spacing w:lineRule="auto" w:line="240"/>
                    <w:ind w:hanging="0"/>
                    <w:rPr>
                      <w:sz w:val="24"/>
                      <w:szCs w:val="24"/>
                    </w:rPr>
                  </w:pPr>
                  <w:r>
                    <w:rPr>
                      <w:sz w:val="24"/>
                      <w:szCs w:val="24"/>
                    </w:rPr>
                    <w:t>Не может работать предприятие</w:t>
                  </w:r>
                </w:p>
              </w:tc>
              <w:tc>
                <w:tcPr>
                  <w:tcW w:w="2766" w:type="dxa"/>
                  <w:tcBorders>
                    <w:left w:val="single" w:sz="4" w:space="0" w:color="000000"/>
                    <w:bottom w:val="single" w:sz="8" w:space="0" w:color="000000"/>
                    <w:right w:val="single" w:sz="8" w:space="0" w:color="000000"/>
                  </w:tcBorders>
                  <w:vAlign w:val="center"/>
                </w:tcPr>
                <w:p>
                  <w:pPr>
                    <w:pStyle w:val="Normal"/>
                    <w:widowControl w:val="false"/>
                    <w:snapToGrid w:val="false"/>
                    <w:spacing w:lineRule="auto" w:line="240"/>
                    <w:ind w:hanging="0"/>
                    <w:jc w:val="center"/>
                    <w:rPr>
                      <w:sz w:val="24"/>
                      <w:szCs w:val="24"/>
                    </w:rPr>
                  </w:pPr>
                  <w:r>
                    <w:rPr>
                      <w:sz w:val="24"/>
                      <w:szCs w:val="24"/>
                      <w:lang w:val="en-US"/>
                    </w:rPr>
                    <w:t xml:space="preserve">   </w:t>
                  </w:r>
                  <w:r>
                    <w:rPr>
                      <w:sz w:val="24"/>
                      <w:szCs w:val="24"/>
                    </w:rPr>
                    <w:t>4 часа (1)</w:t>
                  </w:r>
                </w:p>
              </w:tc>
            </w:tr>
          </w:tbl>
          <w:p>
            <w:pPr>
              <w:pStyle w:val="Normal"/>
              <w:widowControl w:val="false"/>
              <w:spacing w:lineRule="auto" w:line="240"/>
              <w:ind w:hanging="0"/>
              <w:jc w:val="left"/>
              <w:rPr>
                <w:rFonts w:eastAsia="Calibri"/>
                <w:sz w:val="24"/>
                <w:szCs w:val="24"/>
                <w:lang w:eastAsia="en-US"/>
              </w:rPr>
            </w:pPr>
            <w:r>
              <w:rPr>
                <w:rFonts w:eastAsia="Calibri"/>
                <w:sz w:val="24"/>
                <w:szCs w:val="24"/>
                <w:lang w:eastAsia="en-US"/>
              </w:rPr>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Параметры безопасности</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tabs>
                <w:tab w:val="clear" w:pos="709"/>
                <w:tab w:val="left" w:pos="708" w:leader="none"/>
              </w:tabs>
              <w:snapToGrid w:val="false"/>
              <w:spacing w:lineRule="auto" w:line="240"/>
              <w:ind w:hanging="0"/>
              <w:outlineLvl w:val="0"/>
              <w:rPr>
                <w:b/>
                <w:sz w:val="24"/>
                <w:szCs w:val="24"/>
              </w:rPr>
            </w:pPr>
            <w:r>
              <w:rPr>
                <w:b/>
                <w:sz w:val="24"/>
                <w:szCs w:val="24"/>
              </w:rPr>
              <w:t>Процедуры:</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Процедура регистрации нового Пользователя</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b/>
                <w:sz w:val="24"/>
                <w:szCs w:val="24"/>
              </w:rPr>
              <w:t>Процедура инициации Сервиса</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 xml:space="preserve">Процедуры и инструкции для пользователей </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Состав документации, с которой должны быть ознакомлены пользователи, приведен в Таблице 4.</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Процедура информирования об инцидентах</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trPr>
          <w:trHeight w:val="58"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b/>
                <w:sz w:val="24"/>
                <w:szCs w:val="24"/>
              </w:rPr>
            </w:pPr>
            <w:r>
              <w:rPr>
                <w:b/>
                <w:sz w:val="24"/>
                <w:szCs w:val="24"/>
              </w:rPr>
              <w:t>Процедура отсрочки регистрации Подрядчиком данных в ИС УФАП</w:t>
            </w:r>
          </w:p>
        </w:tc>
      </w:tr>
      <w:tr>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trPr>
          <w:trHeight w:val="72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trPr>
          <w:trHeight w:val="256"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Процедура выполняется в следующем порядке: </w:t>
            </w:r>
          </w:p>
        </w:tc>
      </w:tr>
      <w:tr>
        <w:trPr>
          <w:trHeight w:val="43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trPr>
          <w:trHeight w:val="56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trPr>
          <w:trHeight w:val="43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trPr>
          <w:trHeight w:val="690"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В случае,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trPr>
          <w:trHeight w:val="338"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
        </w:tc>
      </w:tr>
      <w:tr>
        <w:trPr>
          <w:trHeight w:val="527"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trPr>
          <w:trHeight w:val="489"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 </w:t>
            </w:r>
          </w:p>
        </w:tc>
      </w:tr>
      <w:tr>
        <w:trPr>
          <w:trHeight w:val="58" w:hRule="atLeast"/>
        </w:trPr>
        <w:tc>
          <w:tcPr>
            <w:tcW w:w="963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pPr>
        <w:pStyle w:val="Normal"/>
        <w:widowControl w:val="false"/>
        <w:snapToGrid w:val="false"/>
        <w:spacing w:lineRule="auto" w:line="240" w:before="120" w:after="120"/>
        <w:rPr>
          <w:b/>
          <w:bCs/>
          <w:sz w:val="24"/>
          <w:szCs w:val="24"/>
        </w:rPr>
      </w:pPr>
      <w:r>
        <w:rPr>
          <w:b/>
          <w:bCs/>
          <w:sz w:val="24"/>
          <w:szCs w:val="24"/>
        </w:rPr>
        <w:t xml:space="preserve">Таблица 2. Требования к АРМ ИС УФАП. </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738"/>
        <w:gridCol w:w="3803"/>
        <w:gridCol w:w="5096"/>
      </w:tblGrid>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 xml:space="preserve">№ </w:t>
            </w:r>
            <w:r>
              <w:rPr>
                <w:sz w:val="24"/>
                <w:szCs w:val="24"/>
              </w:rPr>
              <w:t>п</w:t>
            </w:r>
            <w:r>
              <w:rPr>
                <w:sz w:val="24"/>
                <w:szCs w:val="24"/>
                <w:lang w:val="en-US"/>
              </w:rPr>
              <w:t>/</w:t>
            </w:r>
            <w:r>
              <w:rPr>
                <w:sz w:val="24"/>
                <w:szCs w:val="24"/>
              </w:rPr>
              <w:t>п</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Параметр</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Значение</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1</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Процессор</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lang w:val="en-US"/>
              </w:rPr>
            </w:pPr>
            <w:r>
              <w:rPr>
                <w:sz w:val="24"/>
                <w:szCs w:val="24"/>
              </w:rPr>
              <w:t>Не</w:t>
            </w:r>
            <w:r>
              <w:rPr>
                <w:sz w:val="24"/>
                <w:szCs w:val="24"/>
                <w:lang w:val="en-US"/>
              </w:rPr>
              <w:t xml:space="preserve"> </w:t>
            </w:r>
            <w:r>
              <w:rPr>
                <w:sz w:val="24"/>
                <w:szCs w:val="24"/>
              </w:rPr>
              <w:t>ниже</w:t>
            </w:r>
            <w:r>
              <w:rPr>
                <w:sz w:val="24"/>
                <w:szCs w:val="24"/>
                <w:lang w:val="en-US"/>
              </w:rPr>
              <w:t xml:space="preserve"> Intel-based Pentium 600 MHz </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2</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Операционная система</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lang w:val="en-US"/>
              </w:rPr>
            </w:pPr>
            <w:r>
              <w:rPr>
                <w:sz w:val="24"/>
                <w:szCs w:val="24"/>
                <w:lang w:val="en-US"/>
              </w:rPr>
              <w:t>Windows</w:t>
            </w:r>
            <w:r>
              <w:rPr>
                <w:sz w:val="24"/>
                <w:szCs w:val="24"/>
              </w:rPr>
              <w:t xml:space="preserve"> 2000</w:t>
            </w:r>
            <w:r>
              <w:rPr>
                <w:sz w:val="24"/>
                <w:szCs w:val="24"/>
                <w:lang w:val="en-US"/>
              </w:rPr>
              <w:t>, Windows XP</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3</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Объем ОЗУ</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Не менее 256 Мб</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4</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Объем свободного места на жестком диске</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Не менее 100 Мб</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5</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Разрешение монитора</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Не ниже 1024х768  High Color 16-bit</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6</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Скорость доступа в сеть Интернет</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64 кБит/сек и выше</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7</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lang w:val="en-US"/>
              </w:rPr>
            </w:pPr>
            <w:r>
              <w:rPr>
                <w:sz w:val="24"/>
                <w:szCs w:val="24"/>
              </w:rPr>
              <w:t xml:space="preserve">Версия </w:t>
            </w:r>
            <w:r>
              <w:rPr>
                <w:sz w:val="24"/>
                <w:szCs w:val="24"/>
                <w:lang w:val="en-US"/>
              </w:rPr>
              <w:t>Internet Explorer</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6.2 или выше</w:t>
            </w:r>
          </w:p>
        </w:tc>
      </w:tr>
      <w:tr>
        <w:trPr/>
        <w:tc>
          <w:tcPr>
            <w:tcW w:w="73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8</w:t>
            </w:r>
          </w:p>
        </w:tc>
        <w:tc>
          <w:tcPr>
            <w:tcW w:w="380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Дополнительное программное обеспечение </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lang w:val="en-US"/>
              </w:rPr>
            </w:pPr>
            <w:r>
              <w:rPr>
                <w:sz w:val="24"/>
                <w:szCs w:val="24"/>
                <w:lang w:val="en-US"/>
              </w:rPr>
              <w:t xml:space="preserve">Java Runtime Engine (JRE) v.1.3.08 </w:t>
            </w:r>
            <w:r>
              <w:rPr>
                <w:sz w:val="24"/>
                <w:szCs w:val="24"/>
              </w:rPr>
              <w:t>или</w:t>
            </w:r>
            <w:r>
              <w:rPr>
                <w:sz w:val="24"/>
                <w:szCs w:val="24"/>
                <w:lang w:val="en-US"/>
              </w:rPr>
              <w:t xml:space="preserve"> v.1.4.07</w:t>
            </w:r>
          </w:p>
        </w:tc>
      </w:tr>
      <w:tr>
        <w:trPr/>
        <w:tc>
          <w:tcPr>
            <w:tcW w:w="73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4"/>
                <w:szCs w:val="24"/>
                <w:lang w:val="en-US"/>
              </w:rPr>
            </w:pPr>
            <w:r>
              <w:rPr>
                <w:sz w:val="24"/>
                <w:szCs w:val="24"/>
                <w:lang w:val="en-US"/>
              </w:rPr>
            </w:r>
          </w:p>
        </w:tc>
        <w:tc>
          <w:tcPr>
            <w:tcW w:w="380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lang w:val="en-US"/>
              </w:rPr>
            </w:pPr>
            <w:r>
              <w:rPr>
                <w:sz w:val="24"/>
                <w:szCs w:val="24"/>
                <w:lang w:val="en-US"/>
              </w:rPr>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lang w:val="en-US"/>
              </w:rPr>
              <w:t>Microsoft Office 2003 Professional</w:t>
            </w:r>
          </w:p>
        </w:tc>
      </w:tr>
      <w:tr>
        <w:trPr/>
        <w:tc>
          <w:tcPr>
            <w:tcW w:w="73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4"/>
                <w:szCs w:val="24"/>
              </w:rPr>
            </w:pPr>
            <w:r>
              <w:rPr>
                <w:sz w:val="24"/>
                <w:szCs w:val="24"/>
              </w:rPr>
            </w:r>
          </w:p>
        </w:tc>
        <w:tc>
          <w:tcPr>
            <w:tcW w:w="380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lang w:val="en-US"/>
              </w:rPr>
              <w:t>Microsoft Project 2003</w:t>
            </w:r>
          </w:p>
        </w:tc>
      </w:tr>
      <w:tr>
        <w:trPr/>
        <w:tc>
          <w:tcPr>
            <w:tcW w:w="73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4"/>
                <w:szCs w:val="24"/>
              </w:rPr>
            </w:pPr>
            <w:r>
              <w:rPr>
                <w:sz w:val="24"/>
                <w:szCs w:val="24"/>
              </w:rPr>
            </w:r>
          </w:p>
        </w:tc>
        <w:tc>
          <w:tcPr>
            <w:tcW w:w="380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lang w:val="en-US"/>
              </w:rPr>
            </w:pPr>
            <w:r>
              <w:rPr>
                <w:sz w:val="24"/>
                <w:szCs w:val="24"/>
                <w:lang w:val="en-US"/>
              </w:rPr>
              <w:t xml:space="preserve">Adobe Acrobat Reader 4.0 </w:t>
            </w:r>
            <w:r>
              <w:rPr>
                <w:sz w:val="24"/>
                <w:szCs w:val="24"/>
              </w:rPr>
              <w:t>или</w:t>
            </w:r>
            <w:r>
              <w:rPr>
                <w:sz w:val="24"/>
                <w:szCs w:val="24"/>
                <w:lang w:val="en-US"/>
              </w:rPr>
              <w:t xml:space="preserve"> </w:t>
            </w:r>
            <w:r>
              <w:rPr>
                <w:sz w:val="24"/>
                <w:szCs w:val="24"/>
              </w:rPr>
              <w:t>выше</w:t>
            </w:r>
          </w:p>
        </w:tc>
      </w:tr>
      <w:tr>
        <w:trPr/>
        <w:tc>
          <w:tcPr>
            <w:tcW w:w="73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9</w:t>
            </w:r>
          </w:p>
        </w:tc>
        <w:tc>
          <w:tcPr>
            <w:tcW w:w="3803"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Прочие требования</w:t>
            </w:r>
          </w:p>
        </w:tc>
        <w:tc>
          <w:tcPr>
            <w:tcW w:w="509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Для всех персональных компьютеров должна быть обеспечена возможность печати черно-белых документов.</w:t>
            </w:r>
          </w:p>
        </w:tc>
      </w:tr>
    </w:tbl>
    <w:p>
      <w:pPr>
        <w:pStyle w:val="Normal"/>
        <w:widowControl w:val="false"/>
        <w:snapToGrid w:val="false"/>
        <w:spacing w:lineRule="auto" w:line="240" w:before="120" w:after="120"/>
        <w:rPr>
          <w:b/>
          <w:bCs/>
          <w:sz w:val="24"/>
          <w:szCs w:val="24"/>
        </w:rPr>
      </w:pPr>
      <w:r>
        <w:rPr>
          <w:b/>
          <w:bCs/>
          <w:sz w:val="24"/>
          <w:szCs w:val="24"/>
        </w:rPr>
        <w:t>Таблица 3.  Список стандартных запросов на обслуживание</w:t>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6122"/>
        <w:gridCol w:w="1930"/>
        <w:gridCol w:w="1585"/>
      </w:tblGrid>
      <w:tr>
        <w:trPr>
          <w:trHeight w:val="645"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b/>
                <w:bCs/>
                <w:sz w:val="24"/>
                <w:szCs w:val="24"/>
              </w:rPr>
            </w:pPr>
            <w:r>
              <w:rPr>
                <w:b/>
                <w:bCs/>
                <w:sz w:val="24"/>
                <w:szCs w:val="24"/>
              </w:rPr>
              <w:t>Стандартный запрос на обслуживание</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b/>
                <w:bCs/>
                <w:sz w:val="24"/>
                <w:szCs w:val="24"/>
              </w:rPr>
            </w:pPr>
            <w:r>
              <w:rPr>
                <w:b/>
                <w:bCs/>
                <w:sz w:val="24"/>
                <w:szCs w:val="24"/>
              </w:rPr>
              <w:t>Время исполнения</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b/>
                <w:bCs/>
                <w:sz w:val="24"/>
                <w:szCs w:val="24"/>
              </w:rPr>
            </w:pPr>
            <w:r>
              <w:rPr>
                <w:b/>
                <w:bCs/>
                <w:sz w:val="24"/>
                <w:szCs w:val="24"/>
              </w:rPr>
              <w:t>Примечание</w:t>
            </w:r>
          </w:p>
        </w:tc>
      </w:tr>
      <w:tr>
        <w:trPr>
          <w:trHeight w:val="58"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Создание отчета на основе простого запроса</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3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330"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Создание отчета на основе простого в соответствии с заданной выходной формой  </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5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58"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Создание отчета на основе сложного запроса</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5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330"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Создание отчета на основе сложного запроса в соответствии с заданной выходной формой  </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6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330"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Добавление нового запроса к списку стандартных запросов на выборку</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3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58"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Изменение содержания справочников</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5 раб. дн.</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rHeight w:val="58" w:hRule="atLeast"/>
        </w:trPr>
        <w:tc>
          <w:tcPr>
            <w:tcW w:w="6122"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Корректировка прав доступа</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1 раб. день</w:t>
            </w:r>
          </w:p>
        </w:tc>
        <w:tc>
          <w:tcPr>
            <w:tcW w:w="15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bl>
    <w:p>
      <w:pPr>
        <w:pStyle w:val="Normal"/>
        <w:widowControl w:val="false"/>
        <w:snapToGrid w:val="false"/>
        <w:spacing w:lineRule="auto" w:line="240" w:before="120" w:after="120"/>
        <w:rPr>
          <w:b/>
          <w:bCs/>
          <w:sz w:val="24"/>
          <w:szCs w:val="24"/>
        </w:rPr>
      </w:pPr>
      <w:r>
        <w:rPr>
          <w:b/>
          <w:bCs/>
          <w:sz w:val="24"/>
          <w:szCs w:val="24"/>
        </w:rPr>
        <w:t>Таблица 4. Список пользовательской документации</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915"/>
        <w:gridCol w:w="8721"/>
      </w:tblGrid>
      <w:tr>
        <w:trPr/>
        <w:tc>
          <w:tcPr>
            <w:tcW w:w="91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 xml:space="preserve">№ </w:t>
            </w:r>
            <w:r>
              <w:rPr>
                <w:sz w:val="24"/>
                <w:szCs w:val="24"/>
              </w:rPr>
              <w:t>п/п</w:t>
            </w:r>
          </w:p>
        </w:tc>
        <w:tc>
          <w:tcPr>
            <w:tcW w:w="872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Наименование документа</w:t>
            </w:r>
          </w:p>
        </w:tc>
      </w:tr>
      <w:tr>
        <w:trPr/>
        <w:tc>
          <w:tcPr>
            <w:tcW w:w="91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1.</w:t>
            </w:r>
          </w:p>
        </w:tc>
        <w:tc>
          <w:tcPr>
            <w:tcW w:w="872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Руководство пользователя ИС УФАП </w:t>
            </w:r>
            <w:r>
              <w:rPr>
                <w:sz w:val="24"/>
                <w:szCs w:val="24"/>
                <w:lang w:val="en-US"/>
              </w:rPr>
              <w:t>Maximo</w:t>
            </w:r>
          </w:p>
        </w:tc>
      </w:tr>
      <w:tr>
        <w:trPr/>
        <w:tc>
          <w:tcPr>
            <w:tcW w:w="91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2.</w:t>
            </w:r>
          </w:p>
        </w:tc>
        <w:tc>
          <w:tcPr>
            <w:tcW w:w="872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 xml:space="preserve">Комплект рабочих инструкций по работе в </w:t>
            </w:r>
            <w:r>
              <w:rPr>
                <w:sz w:val="24"/>
                <w:szCs w:val="24"/>
                <w:lang w:val="en-US"/>
              </w:rPr>
              <w:t>Maximo</w:t>
            </w:r>
          </w:p>
        </w:tc>
      </w:tr>
      <w:tr>
        <w:trPr/>
        <w:tc>
          <w:tcPr>
            <w:tcW w:w="91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3.</w:t>
            </w:r>
          </w:p>
        </w:tc>
        <w:tc>
          <w:tcPr>
            <w:tcW w:w="872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Положение о Службе Поддержки Пользователей</w:t>
            </w:r>
          </w:p>
        </w:tc>
      </w:tr>
      <w:tr>
        <w:trPr/>
        <w:tc>
          <w:tcPr>
            <w:tcW w:w="91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4.</w:t>
            </w:r>
          </w:p>
        </w:tc>
        <w:tc>
          <w:tcPr>
            <w:tcW w:w="872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t>Памятка пользователя СПП</w:t>
            </w:r>
          </w:p>
        </w:tc>
      </w:tr>
    </w:tbl>
    <w:p>
      <w:pPr>
        <w:pStyle w:val="Normal"/>
        <w:widowControl w:val="false"/>
        <w:snapToGrid w:val="false"/>
        <w:spacing w:lineRule="auto" w:line="240" w:before="120" w:after="120"/>
        <w:rPr>
          <w:b/>
          <w:bCs/>
          <w:sz w:val="24"/>
          <w:szCs w:val="24"/>
        </w:rPr>
      </w:pPr>
      <w:r>
        <w:rPr>
          <w:b/>
          <w:bCs/>
          <w:sz w:val="24"/>
          <w:szCs w:val="24"/>
        </w:rPr>
        <w:t>Таблица 5. Форма журнала учета перерывов поставки сервиса «ИС УФАП».</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511"/>
        <w:gridCol w:w="1448"/>
        <w:gridCol w:w="1239"/>
        <w:gridCol w:w="1600"/>
        <w:gridCol w:w="981"/>
        <w:gridCol w:w="746"/>
        <w:gridCol w:w="1556"/>
        <w:gridCol w:w="1554"/>
      </w:tblGrid>
      <w:tr>
        <w:trPr/>
        <w:tc>
          <w:tcPr>
            <w:tcW w:w="51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 xml:space="preserve">№ </w:t>
            </w:r>
            <w:r>
              <w:rPr>
                <w:sz w:val="24"/>
                <w:szCs w:val="24"/>
              </w:rPr>
              <w:t>п/п</w:t>
            </w:r>
          </w:p>
        </w:tc>
        <w:tc>
          <w:tcPr>
            <w:tcW w:w="144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Дата и время прекращения поставки Сервиса</w:t>
            </w:r>
          </w:p>
        </w:tc>
        <w:tc>
          <w:tcPr>
            <w:tcW w:w="123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Номер обращения в СПП</w:t>
            </w:r>
          </w:p>
        </w:tc>
        <w:tc>
          <w:tcPr>
            <w:tcW w:w="160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Дата и время</w:t>
            </w:r>
          </w:p>
          <w:p>
            <w:pPr>
              <w:pStyle w:val="Normal"/>
              <w:widowControl w:val="false"/>
              <w:snapToGrid w:val="false"/>
              <w:spacing w:lineRule="auto" w:line="240"/>
              <w:ind w:hanging="0"/>
              <w:jc w:val="center"/>
              <w:rPr>
                <w:sz w:val="24"/>
                <w:szCs w:val="24"/>
              </w:rPr>
            </w:pPr>
            <w:r>
              <w:rPr>
                <w:sz w:val="24"/>
                <w:szCs w:val="24"/>
              </w:rPr>
              <w:t>возобновления</w:t>
            </w:r>
          </w:p>
          <w:p>
            <w:pPr>
              <w:pStyle w:val="Normal"/>
              <w:widowControl w:val="false"/>
              <w:snapToGrid w:val="false"/>
              <w:spacing w:lineRule="auto" w:line="240"/>
              <w:ind w:hanging="0"/>
              <w:jc w:val="center"/>
              <w:rPr>
                <w:sz w:val="24"/>
                <w:szCs w:val="24"/>
              </w:rPr>
            </w:pPr>
            <w:r>
              <w:rPr>
                <w:sz w:val="24"/>
                <w:szCs w:val="24"/>
              </w:rPr>
              <w:t>поставки</w:t>
            </w:r>
          </w:p>
          <w:p>
            <w:pPr>
              <w:pStyle w:val="Normal"/>
              <w:widowControl w:val="false"/>
              <w:snapToGrid w:val="false"/>
              <w:spacing w:lineRule="auto" w:line="240"/>
              <w:ind w:hanging="0"/>
              <w:jc w:val="center"/>
              <w:rPr>
                <w:sz w:val="24"/>
                <w:szCs w:val="24"/>
              </w:rPr>
            </w:pPr>
            <w:r>
              <w:rPr>
                <w:sz w:val="24"/>
                <w:szCs w:val="24"/>
              </w:rPr>
              <w:t>Сервиса</w:t>
            </w:r>
          </w:p>
        </w:tc>
        <w:tc>
          <w:tcPr>
            <w:tcW w:w="98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Общее время простоя Сервиса</w:t>
            </w:r>
          </w:p>
        </w:tc>
        <w:tc>
          <w:tcPr>
            <w:tcW w:w="74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Примечания</w:t>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 xml:space="preserve">Ф.И.О. и подпись представителя Подрядчика </w:t>
            </w:r>
          </w:p>
        </w:tc>
        <w:tc>
          <w:tcPr>
            <w:tcW w:w="155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jc w:val="center"/>
              <w:rPr>
                <w:sz w:val="24"/>
                <w:szCs w:val="24"/>
              </w:rPr>
            </w:pPr>
            <w:r>
              <w:rPr>
                <w:sz w:val="24"/>
                <w:szCs w:val="24"/>
              </w:rPr>
              <w:t>Ф.И.О. и подпись представителя Заказчика</w:t>
            </w:r>
          </w:p>
        </w:tc>
      </w:tr>
      <w:tr>
        <w:trPr/>
        <w:tc>
          <w:tcPr>
            <w:tcW w:w="51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44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23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60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98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74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c>
          <w:tcPr>
            <w:tcW w:w="51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44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23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60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98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74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r>
        <w:trPr/>
        <w:tc>
          <w:tcPr>
            <w:tcW w:w="51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448"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239"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60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98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74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c>
          <w:tcPr>
            <w:tcW w:w="1554"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lineRule="auto" w:line="240"/>
              <w:ind w:hanging="0"/>
              <w:rPr>
                <w:sz w:val="24"/>
                <w:szCs w:val="24"/>
              </w:rPr>
            </w:pPr>
            <w:r>
              <w:rPr>
                <w:sz w:val="24"/>
                <w:szCs w:val="24"/>
              </w:rPr>
            </w:r>
          </w:p>
        </w:tc>
      </w:tr>
    </w:tbl>
    <w:p>
      <w:pPr>
        <w:pStyle w:val="Normal"/>
        <w:spacing w:lineRule="auto" w:line="240"/>
        <w:ind w:hanging="0"/>
        <w:rPr>
          <w:b/>
          <w:bCs/>
          <w:sz w:val="24"/>
          <w:szCs w:val="24"/>
        </w:rPr>
      </w:pPr>
      <w:r>
        <w:rPr>
          <w:b/>
          <w:bCs/>
          <w:sz w:val="24"/>
          <w:szCs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sectPr>
          <w:headerReference w:type="default" r:id="rId7"/>
          <w:headerReference w:type="first" r:id="rId8"/>
          <w:footerReference w:type="default" r:id="rId9"/>
          <w:type w:val="nextPage"/>
          <w:pgSz w:w="11906" w:h="16838"/>
          <w:pgMar w:left="1418" w:right="851" w:gutter="0" w:header="284" w:top="851" w:footer="284" w:bottom="851"/>
          <w:pgNumType w:fmt="decimal"/>
          <w:formProt w:val="false"/>
          <w:textDirection w:val="lrTb"/>
          <w:docGrid w:type="default" w:linePitch="381" w:charSpace="0"/>
        </w:sectPr>
        <w:pStyle w:val="Normal"/>
        <w:rPr>
          <w:sz w:val="24"/>
          <w:szCs w:val="24"/>
        </w:rPr>
      </w:pPr>
      <w:r>
        <w:rPr>
          <w:sz w:val="24"/>
          <w:szCs w:val="24"/>
        </w:rPr>
      </w:r>
    </w:p>
    <w:p>
      <w:pPr>
        <w:pStyle w:val="Normal"/>
        <w:spacing w:lineRule="auto" w:line="240"/>
        <w:ind w:hanging="0"/>
        <w:jc w:val="left"/>
        <w:rPr>
          <w:sz w:val="24"/>
          <w:szCs w:val="24"/>
        </w:rPr>
      </w:pPr>
      <w:r>
        <w:rPr>
          <w:sz w:val="24"/>
          <w:szCs w:val="24"/>
        </w:rPr>
      </w:r>
    </w:p>
    <w:p>
      <w:pPr>
        <w:pStyle w:val="Normal"/>
        <w:snapToGrid w:val="false"/>
        <w:spacing w:lineRule="auto" w:line="240"/>
        <w:ind w:firstLine="5103"/>
        <w:rPr>
          <w:sz w:val="22"/>
          <w:szCs w:val="22"/>
        </w:rPr>
      </w:pPr>
      <w:r>
        <w:rPr>
          <w:sz w:val="22"/>
          <w:szCs w:val="22"/>
        </w:rPr>
        <w:t>Приложение № 7</w:t>
      </w:r>
    </w:p>
    <w:p>
      <w:pPr>
        <w:pStyle w:val="Normal"/>
        <w:snapToGrid w:val="false"/>
        <w:spacing w:lineRule="auto" w:line="240"/>
        <w:ind w:firstLine="5103"/>
        <w:rPr>
          <w:sz w:val="22"/>
          <w:szCs w:val="22"/>
        </w:rPr>
      </w:pPr>
      <w:r>
        <w:rPr>
          <w:sz w:val="22"/>
          <w:szCs w:val="22"/>
        </w:rPr>
        <w:t>к Договору подряда</w:t>
      </w:r>
    </w:p>
    <w:p>
      <w:pPr>
        <w:pStyle w:val="Normal"/>
        <w:snapToGrid w:val="false"/>
        <w:spacing w:lineRule="auto" w:line="240"/>
        <w:ind w:firstLine="5103"/>
        <w:rPr>
          <w:sz w:val="22"/>
          <w:szCs w:val="22"/>
        </w:rPr>
      </w:pPr>
      <w:r>
        <w:rPr>
          <w:sz w:val="22"/>
          <w:szCs w:val="22"/>
        </w:rPr>
        <w:t>от «____» __________ 20 _ г. № ____</w:t>
      </w:r>
    </w:p>
    <w:p>
      <w:pPr>
        <w:pStyle w:val="Normal"/>
        <w:spacing w:lineRule="auto" w:line="240"/>
        <w:jc w:val="center"/>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2"/>
        </w:numPr>
        <w:tabs>
          <w:tab w:val="clear" w:pos="709"/>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30"/>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31"/>
        </w:numPr>
        <w:spacing w:lineRule="auto" w:line="240"/>
        <w:ind w:left="0" w:firstLine="709"/>
        <w:rPr>
          <w:sz w:val="24"/>
          <w:szCs w:val="24"/>
        </w:rPr>
      </w:pPr>
      <w:r>
        <w:rPr>
          <w:sz w:val="24"/>
          <w:szCs w:val="24"/>
        </w:rPr>
        <w:t>Коммунальные ресурсы:</w:t>
      </w:r>
    </w:p>
    <w:p>
      <w:pPr>
        <w:pStyle w:val="Normal"/>
        <w:numPr>
          <w:ilvl w:val="1"/>
          <w:numId w:val="32"/>
        </w:numPr>
        <w:spacing w:lineRule="auto" w:line="240"/>
        <w:ind w:left="0" w:firstLine="709"/>
        <w:rPr>
          <w:sz w:val="24"/>
          <w:szCs w:val="24"/>
        </w:rPr>
      </w:pPr>
      <w:r>
        <w:rPr>
          <w:sz w:val="24"/>
          <w:szCs w:val="24"/>
        </w:rPr>
        <w:t>Электроэнергия.</w:t>
      </w:r>
    </w:p>
    <w:p>
      <w:pPr>
        <w:pStyle w:val="Normal"/>
        <w:numPr>
          <w:ilvl w:val="1"/>
          <w:numId w:val="33"/>
        </w:numPr>
        <w:spacing w:lineRule="auto" w:line="240"/>
        <w:ind w:left="0" w:firstLine="709"/>
        <w:rPr>
          <w:sz w:val="24"/>
          <w:szCs w:val="24"/>
        </w:rPr>
      </w:pPr>
      <w:r>
        <w:rPr>
          <w:sz w:val="24"/>
          <w:szCs w:val="24"/>
        </w:rPr>
        <w:t>Водоснабжение и водоотведение.</w:t>
      </w:r>
    </w:p>
    <w:p>
      <w:pPr>
        <w:pStyle w:val="Normal"/>
        <w:numPr>
          <w:ilvl w:val="1"/>
          <w:numId w:val="34"/>
        </w:numPr>
        <w:spacing w:lineRule="auto" w:line="240"/>
        <w:ind w:left="0" w:firstLine="709"/>
        <w:rPr>
          <w:sz w:val="24"/>
          <w:szCs w:val="24"/>
        </w:rPr>
      </w:pPr>
      <w:r>
        <w:rPr>
          <w:sz w:val="24"/>
          <w:szCs w:val="24"/>
        </w:rPr>
        <w:t>Сжатый воздух.</w:t>
      </w:r>
    </w:p>
    <w:p>
      <w:pPr>
        <w:pStyle w:val="Normal"/>
        <w:numPr>
          <w:ilvl w:val="0"/>
          <w:numId w:val="35"/>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36"/>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37"/>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38"/>
        </w:numPr>
        <w:spacing w:lineRule="auto" w:line="240"/>
        <w:ind w:left="0" w:firstLine="709"/>
        <w:rPr>
          <w:sz w:val="24"/>
          <w:szCs w:val="24"/>
        </w:rPr>
      </w:pPr>
      <w:r>
        <w:rPr>
          <w:sz w:val="24"/>
          <w:szCs w:val="24"/>
        </w:rPr>
        <w:t>Проведение химического анализа масел.</w:t>
      </w:r>
    </w:p>
    <w:p>
      <w:pPr>
        <w:pStyle w:val="Normal"/>
        <w:numPr>
          <w:ilvl w:val="0"/>
          <w:numId w:val="39"/>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40"/>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41"/>
        </w:numPr>
        <w:spacing w:lineRule="auto" w:line="240"/>
        <w:ind w:left="0" w:firstLine="709"/>
        <w:rPr>
          <w:sz w:val="24"/>
          <w:szCs w:val="24"/>
        </w:rPr>
      </w:pPr>
      <w:r>
        <w:rPr>
          <w:sz w:val="24"/>
          <w:szCs w:val="24"/>
        </w:rPr>
        <w:t>Предоставление помещений:</w:t>
      </w:r>
    </w:p>
    <w:p>
      <w:pPr>
        <w:pStyle w:val="Normal"/>
        <w:numPr>
          <w:ilvl w:val="1"/>
          <w:numId w:val="42"/>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43"/>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2"/>
        </w:numPr>
        <w:tabs>
          <w:tab w:val="clear" w:pos="709"/>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23"/>
        </w:numPr>
        <w:tabs>
          <w:tab w:val="clear" w:pos="709"/>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9"/>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3"/>
        </w:numPr>
        <w:tabs>
          <w:tab w:val="clear" w:pos="709"/>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9"/>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3"/>
        </w:numPr>
        <w:tabs>
          <w:tab w:val="clear" w:pos="709"/>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9"/>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3"/>
        </w:numPr>
        <w:tabs>
          <w:tab w:val="clear" w:pos="709"/>
          <w:tab w:val="left" w:pos="1134" w:leader="none"/>
        </w:tabs>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9"/>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3"/>
        </w:numPr>
        <w:tabs>
          <w:tab w:val="clear" w:pos="709"/>
          <w:tab w:val="left" w:pos="1134" w:leader="none"/>
        </w:tabs>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9"/>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9"/>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3"/>
        </w:numPr>
        <w:tabs>
          <w:tab w:val="clear" w:pos="709"/>
          <w:tab w:val="left" w:pos="1134" w:leader="none"/>
          <w:tab w:val="left" w:pos="1418" w:leader="none"/>
        </w:tabs>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9"/>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3"/>
        </w:numPr>
        <w:tabs>
          <w:tab w:val="clear" w:pos="709"/>
          <w:tab w:val="left" w:pos="1134" w:leader="none"/>
          <w:tab w:val="left" w:pos="1418" w:leader="none"/>
        </w:tabs>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9"/>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3"/>
        </w:numPr>
        <w:tabs>
          <w:tab w:val="clear" w:pos="709"/>
          <w:tab w:val="left" w:pos="1134" w:leader="none"/>
        </w:tabs>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9"/>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9"/>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9"/>
          <w:tab w:val="left" w:pos="1134" w:leader="none"/>
        </w:tabs>
        <w:spacing w:lineRule="auto" w:line="240"/>
        <w:ind w:firstLine="709"/>
        <w:rPr>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39"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3"/>
        <w:gridCol w:w="4995"/>
      </w:tblGrid>
      <w:tr>
        <w:trPr/>
        <w:tc>
          <w:tcPr>
            <w:tcW w:w="4643" w:type="dxa"/>
            <w:tcBorders/>
            <w:shd w:color="auto" w:fill="auto" w:val="clear"/>
          </w:tcPr>
          <w:p>
            <w:pPr>
              <w:pStyle w:val="Normal"/>
              <w:widowControl w:val="false"/>
              <w:spacing w:lineRule="auto" w:line="240"/>
              <w:ind w:hanging="0"/>
              <w:jc w:val="left"/>
              <w:rPr>
                <w:b/>
                <w:sz w:val="24"/>
                <w:szCs w:val="24"/>
              </w:rPr>
            </w:pPr>
            <w:r>
              <w:rPr>
                <w:b/>
                <w:sz w:val="24"/>
                <w:szCs w:val="24"/>
              </w:rPr>
            </w:r>
          </w:p>
          <w:p>
            <w:pPr>
              <w:pStyle w:val="Normal"/>
              <w:widowControl w:val="false"/>
              <w:spacing w:lineRule="auto" w:line="240"/>
              <w:ind w:hanging="0"/>
              <w:jc w:val="left"/>
              <w:rPr>
                <w:b/>
                <w:sz w:val="24"/>
                <w:szCs w:val="24"/>
              </w:rPr>
            </w:pPr>
            <w:r>
              <w:rPr>
                <w:b/>
                <w:sz w:val="24"/>
                <w:szCs w:val="24"/>
              </w:rPr>
              <w:t>Заказчик:</w:t>
            </w:r>
          </w:p>
        </w:tc>
        <w:tc>
          <w:tcPr>
            <w:tcW w:w="4995" w:type="dxa"/>
            <w:tcBorders/>
            <w:shd w:color="auto" w:fill="auto" w:val="clear"/>
          </w:tcPr>
          <w:p>
            <w:pPr>
              <w:pStyle w:val="Normal"/>
              <w:widowControl w:val="false"/>
              <w:spacing w:lineRule="auto" w:line="240"/>
              <w:ind w:hanging="0"/>
              <w:jc w:val="left"/>
              <w:rPr>
                <w:b/>
                <w:sz w:val="24"/>
                <w:szCs w:val="24"/>
              </w:rPr>
            </w:pPr>
            <w:r>
              <w:rPr>
                <w:b/>
                <w:sz w:val="24"/>
                <w:szCs w:val="24"/>
              </w:rPr>
            </w:r>
          </w:p>
          <w:p>
            <w:pPr>
              <w:pStyle w:val="Normal"/>
              <w:widowControl w:val="false"/>
              <w:spacing w:lineRule="auto" w:line="240"/>
              <w:ind w:hanging="0"/>
              <w:jc w:val="left"/>
              <w:rPr>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5"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pacing w:lineRule="auto" w:line="240"/>
        <w:ind w:hanging="0"/>
        <w:rPr>
          <w:sz w:val="24"/>
          <w:szCs w:val="24"/>
        </w:rPr>
      </w:pPr>
      <w:r>
        <w:rPr>
          <w:sz w:val="24"/>
          <w:szCs w:val="24"/>
        </w:rPr>
      </w:r>
    </w:p>
    <w:p>
      <w:pPr>
        <w:pStyle w:val="Normal"/>
        <w:spacing w:lineRule="auto" w:line="240"/>
        <w:ind w:firstLine="5387"/>
        <w:rPr>
          <w:sz w:val="24"/>
          <w:szCs w:val="24"/>
        </w:rPr>
      </w:pPr>
      <w:r>
        <w:rPr>
          <w:sz w:val="24"/>
          <w:szCs w:val="24"/>
        </w:rPr>
        <w:t>Приложение № 8</w:t>
      </w:r>
    </w:p>
    <w:p>
      <w:pPr>
        <w:pStyle w:val="Normal"/>
        <w:spacing w:lineRule="auto" w:line="240"/>
        <w:ind w:firstLine="5387"/>
        <w:rPr>
          <w:sz w:val="24"/>
          <w:szCs w:val="24"/>
        </w:rPr>
      </w:pPr>
      <w:r>
        <w:rPr>
          <w:sz w:val="24"/>
          <w:szCs w:val="24"/>
        </w:rPr>
        <w:t>к Договору подряда</w:t>
      </w:r>
    </w:p>
    <w:p>
      <w:pPr>
        <w:pStyle w:val="Normal"/>
        <w:spacing w:lineRule="auto" w:line="240"/>
        <w:ind w:firstLine="5387"/>
        <w:rPr>
          <w:sz w:val="24"/>
          <w:szCs w:val="24"/>
        </w:rPr>
      </w:pPr>
      <w:r>
        <w:rPr>
          <w:sz w:val="24"/>
          <w:szCs w:val="24"/>
        </w:rPr>
        <w:t>от «____» __________ 20 _ г. № ________</w:t>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sz w:val="24"/>
          <w:szCs w:val="24"/>
        </w:rPr>
      </w:pPr>
      <w:r>
        <w:rPr>
          <w:b/>
          <w:sz w:val="24"/>
          <w:szCs w:val="24"/>
        </w:rPr>
        <w:t>Порядок возврата Подрядчиком Заказчику лома и отходов черных и цветных металлов, образовавшихся при производстве работ</w:t>
      </w:r>
    </w:p>
    <w:p>
      <w:pPr>
        <w:pStyle w:val="Normal"/>
        <w:spacing w:lineRule="auto" w:line="240"/>
        <w:ind w:hanging="0"/>
        <w:rPr>
          <w:b/>
          <w:sz w:val="24"/>
          <w:szCs w:val="24"/>
        </w:rPr>
      </w:pPr>
      <w:r>
        <w:rPr>
          <w:b/>
          <w:sz w:val="24"/>
          <w:szCs w:val="24"/>
        </w:rPr>
      </w:r>
    </w:p>
    <w:p>
      <w:pPr>
        <w:pStyle w:val="Normal"/>
        <w:numPr>
          <w:ilvl w:val="0"/>
          <w:numId w:val="26"/>
        </w:numPr>
        <w:spacing w:lineRule="auto" w:line="240"/>
        <w:ind w:left="0" w:firstLine="567"/>
        <w:rPr>
          <w:sz w:val="24"/>
          <w:szCs w:val="24"/>
        </w:rPr>
      </w:pPr>
      <w:r>
        <w:rPr>
          <w:sz w:val="24"/>
          <w:szCs w:val="24"/>
        </w:rPr>
        <w:t>По результатам обследования технического состояния демонтированных материальных ценностей Заказчик направит уведомление, содержащее сведения:</w:t>
      </w:r>
    </w:p>
    <w:p>
      <w:pPr>
        <w:pStyle w:val="Normal"/>
        <w:numPr>
          <w:ilvl w:val="1"/>
          <w:numId w:val="26"/>
        </w:numPr>
        <w:spacing w:lineRule="auto" w:line="240"/>
        <w:ind w:left="0" w:firstLine="567"/>
        <w:rPr>
          <w:sz w:val="24"/>
          <w:szCs w:val="24"/>
        </w:rPr>
      </w:pPr>
      <w:r>
        <w:rPr>
          <w:sz w:val="24"/>
          <w:szCs w:val="24"/>
        </w:rPr>
        <w:t xml:space="preserve"> </w:t>
      </w:r>
      <w:r>
        <w:rPr>
          <w:sz w:val="24"/>
          <w:szCs w:val="24"/>
        </w:rPr>
        <w:t>о материальных ценностях, пригодных для дальнейшего использования, порядке и сроках их передачи Заказчику, в том числе:</w:t>
      </w:r>
    </w:p>
    <w:p>
      <w:pPr>
        <w:pStyle w:val="Normal"/>
        <w:numPr>
          <w:ilvl w:val="0"/>
          <w:numId w:val="27"/>
        </w:numPr>
        <w:spacing w:lineRule="auto" w:line="240"/>
        <w:ind w:left="0" w:firstLine="567"/>
        <w:rPr>
          <w:sz w:val="24"/>
          <w:szCs w:val="24"/>
        </w:rPr>
      </w:pPr>
      <w:r>
        <w:rPr>
          <w:sz w:val="24"/>
          <w:szCs w:val="24"/>
        </w:rPr>
        <w:t>о необходимости разборки/разукрупнения материальных ценностей;</w:t>
      </w:r>
    </w:p>
    <w:p>
      <w:pPr>
        <w:pStyle w:val="Normal"/>
        <w:numPr>
          <w:ilvl w:val="0"/>
          <w:numId w:val="27"/>
        </w:numPr>
        <w:spacing w:lineRule="auto" w:line="240"/>
        <w:ind w:left="0" w:firstLine="567"/>
        <w:rPr>
          <w:sz w:val="24"/>
          <w:szCs w:val="24"/>
        </w:rPr>
      </w:pPr>
      <w:r>
        <w:rPr>
          <w:sz w:val="24"/>
          <w:szCs w:val="24"/>
        </w:rPr>
        <w:t>о сроках передачи и складе/площадке для размещения материальных ценностей;</w:t>
      </w:r>
    </w:p>
    <w:p>
      <w:pPr>
        <w:pStyle w:val="Normal"/>
        <w:numPr>
          <w:ilvl w:val="0"/>
          <w:numId w:val="27"/>
        </w:numPr>
        <w:spacing w:lineRule="auto" w:line="240"/>
        <w:ind w:left="0" w:firstLine="567"/>
        <w:rPr>
          <w:sz w:val="24"/>
          <w:szCs w:val="24"/>
        </w:rPr>
      </w:pPr>
      <w:r>
        <w:rPr>
          <w:sz w:val="24"/>
          <w:szCs w:val="24"/>
        </w:rPr>
        <w:t>о сроках и порядке проведения взвешивания (при необходимости).</w:t>
      </w:r>
    </w:p>
    <w:p>
      <w:pPr>
        <w:pStyle w:val="Normal"/>
        <w:numPr>
          <w:ilvl w:val="1"/>
          <w:numId w:val="26"/>
        </w:numPr>
        <w:spacing w:lineRule="auto" w:line="240"/>
        <w:ind w:left="0" w:firstLine="567"/>
        <w:rPr>
          <w:sz w:val="24"/>
          <w:szCs w:val="24"/>
        </w:rPr>
      </w:pPr>
      <w:r>
        <w:rPr>
          <w:sz w:val="24"/>
          <w:szCs w:val="24"/>
        </w:rPr>
        <w:t xml:space="preserve"> </w:t>
      </w:r>
      <w:r>
        <w:rPr>
          <w:sz w:val="24"/>
          <w:szCs w:val="24"/>
        </w:rPr>
        <w:t>о непригодных для дальнейшего использования материальных ценностях, списываемых в лом и отходы черных и цветных металлов, порядке и сроках их передачи Заказчику, в том числе:</w:t>
      </w:r>
    </w:p>
    <w:p>
      <w:pPr>
        <w:pStyle w:val="Normal"/>
        <w:numPr>
          <w:ilvl w:val="0"/>
          <w:numId w:val="27"/>
        </w:numPr>
        <w:spacing w:lineRule="auto" w:line="240"/>
        <w:ind w:left="0" w:firstLine="567"/>
        <w:rPr>
          <w:sz w:val="24"/>
          <w:szCs w:val="24"/>
        </w:rPr>
      </w:pPr>
      <w:r>
        <w:rPr>
          <w:sz w:val="24"/>
          <w:szCs w:val="24"/>
        </w:rPr>
        <w:t>о необходимости разделки лома металлов, сортировки по видам металлов, видам, группам и категориям металлолома;</w:t>
      </w:r>
    </w:p>
    <w:p>
      <w:pPr>
        <w:pStyle w:val="Normal"/>
        <w:numPr>
          <w:ilvl w:val="0"/>
          <w:numId w:val="27"/>
        </w:numPr>
        <w:spacing w:lineRule="auto" w:line="240"/>
        <w:ind w:left="0" w:firstLine="567"/>
        <w:rPr>
          <w:sz w:val="24"/>
          <w:szCs w:val="24"/>
        </w:rPr>
      </w:pPr>
      <w:r>
        <w:rPr>
          <w:sz w:val="24"/>
          <w:szCs w:val="24"/>
        </w:rPr>
        <w:t xml:space="preserve">о допустимых габаритах отдельных кусков лома, маркировке демонтированных деталей; </w:t>
      </w:r>
    </w:p>
    <w:p>
      <w:pPr>
        <w:pStyle w:val="Normal"/>
        <w:numPr>
          <w:ilvl w:val="0"/>
          <w:numId w:val="27"/>
        </w:numPr>
        <w:spacing w:lineRule="auto" w:line="240"/>
        <w:ind w:left="0" w:firstLine="567"/>
        <w:rPr>
          <w:sz w:val="24"/>
          <w:szCs w:val="24"/>
        </w:rPr>
      </w:pPr>
      <w:r>
        <w:rPr>
          <w:sz w:val="24"/>
          <w:szCs w:val="24"/>
        </w:rPr>
        <w:t>об условиях размещения лома и месте накопления отходов;</w:t>
      </w:r>
    </w:p>
    <w:p>
      <w:pPr>
        <w:pStyle w:val="Normal"/>
        <w:numPr>
          <w:ilvl w:val="0"/>
          <w:numId w:val="27"/>
        </w:numPr>
        <w:spacing w:lineRule="auto" w:line="240"/>
        <w:ind w:left="0" w:firstLine="567"/>
        <w:rPr>
          <w:sz w:val="24"/>
          <w:szCs w:val="24"/>
        </w:rPr>
      </w:pPr>
      <w:r>
        <w:rPr>
          <w:sz w:val="24"/>
          <w:szCs w:val="24"/>
        </w:rPr>
        <w:t>о сроках и условиях размещения лома в месте накопления отходов и взвешивания лома;</w:t>
      </w:r>
    </w:p>
    <w:p>
      <w:pPr>
        <w:pStyle w:val="Normal"/>
        <w:numPr>
          <w:ilvl w:val="0"/>
          <w:numId w:val="27"/>
        </w:numPr>
        <w:spacing w:lineRule="auto" w:line="240"/>
        <w:ind w:left="0" w:firstLine="567"/>
        <w:rPr>
          <w:sz w:val="24"/>
          <w:szCs w:val="24"/>
        </w:rPr>
      </w:pPr>
      <w:r>
        <w:rPr>
          <w:sz w:val="24"/>
          <w:szCs w:val="24"/>
        </w:rPr>
        <w:t>о необходимости определения засоренности и требованиях к порядку и срокам определения засоренности лома цветных металлов;</w:t>
      </w:r>
    </w:p>
    <w:p>
      <w:pPr>
        <w:pStyle w:val="Normal"/>
        <w:numPr>
          <w:ilvl w:val="0"/>
          <w:numId w:val="26"/>
        </w:numPr>
        <w:spacing w:lineRule="auto" w:line="240"/>
        <w:ind w:left="0" w:firstLine="567"/>
        <w:rPr>
          <w:sz w:val="24"/>
          <w:szCs w:val="24"/>
        </w:rPr>
      </w:pPr>
      <w:r>
        <w:rPr>
          <w:sz w:val="24"/>
          <w:szCs w:val="24"/>
        </w:rPr>
        <w:t>Подрядчик должен передать Заказчику в полном объеме лом черных и цветных металлов, образовавшийся в ходе выполнения Работ в порядке и сроки, указанные в обращении Заказчика направленного в соответствии с пунктом 1.2, по акту приема передачи с предварительным взвешиванием лома и определением засоренности лома цветных металлов, в т.ч.:</w:t>
      </w:r>
    </w:p>
    <w:p>
      <w:pPr>
        <w:pStyle w:val="Normal"/>
        <w:numPr>
          <w:ilvl w:val="1"/>
          <w:numId w:val="26"/>
        </w:numPr>
        <w:spacing w:lineRule="auto" w:line="240"/>
        <w:ind w:left="0" w:firstLine="567"/>
        <w:rPr>
          <w:sz w:val="24"/>
          <w:szCs w:val="24"/>
        </w:rPr>
      </w:pPr>
      <w:r>
        <w:rPr>
          <w:sz w:val="24"/>
          <w:szCs w:val="24"/>
        </w:rPr>
        <w:t>Подготовить заявку на сдачу лома, по форме, установленной Заказчиком, определить наименование, вид, группу и общее обозначение лома металлов в соответствии с ГОСТ;</w:t>
      </w:r>
    </w:p>
    <w:p>
      <w:pPr>
        <w:pStyle w:val="Normal"/>
        <w:numPr>
          <w:ilvl w:val="1"/>
          <w:numId w:val="26"/>
        </w:numPr>
        <w:spacing w:lineRule="auto" w:line="240"/>
        <w:ind w:left="0" w:firstLine="567"/>
        <w:rPr>
          <w:sz w:val="24"/>
          <w:szCs w:val="24"/>
        </w:rPr>
      </w:pPr>
      <w:r>
        <w:rPr>
          <w:sz w:val="24"/>
          <w:szCs w:val="24"/>
        </w:rPr>
        <w:t>Выполнить разделку крупногабаритного демонтированного лома металлов;</w:t>
      </w:r>
    </w:p>
    <w:p>
      <w:pPr>
        <w:pStyle w:val="Normal"/>
        <w:numPr>
          <w:ilvl w:val="1"/>
          <w:numId w:val="26"/>
        </w:numPr>
        <w:spacing w:lineRule="auto" w:line="240"/>
        <w:ind w:left="0" w:firstLine="567"/>
        <w:rPr>
          <w:sz w:val="24"/>
          <w:szCs w:val="24"/>
        </w:rPr>
      </w:pPr>
      <w:r>
        <w:rPr>
          <w:sz w:val="24"/>
          <w:szCs w:val="24"/>
        </w:rPr>
        <w:t>Выполнить перемещение лома металлов в место накопления отходов и размещение лома в месте накопления отходов;</w:t>
      </w:r>
    </w:p>
    <w:p>
      <w:pPr>
        <w:pStyle w:val="Normal"/>
        <w:numPr>
          <w:ilvl w:val="1"/>
          <w:numId w:val="26"/>
        </w:numPr>
        <w:spacing w:lineRule="auto" w:line="240"/>
        <w:ind w:left="0" w:firstLine="567"/>
        <w:rPr>
          <w:sz w:val="24"/>
          <w:szCs w:val="24"/>
        </w:rPr>
      </w:pPr>
      <w:r>
        <w:rPr>
          <w:sz w:val="24"/>
          <w:szCs w:val="24"/>
        </w:rPr>
        <w:t>Произвести взвешивание демонтированного лома металлов. При взвешивании крупных узлов/деталей не допускается подмешивание мелких деталей/материалов;</w:t>
      </w:r>
    </w:p>
    <w:p>
      <w:pPr>
        <w:pStyle w:val="Normal"/>
        <w:numPr>
          <w:ilvl w:val="1"/>
          <w:numId w:val="26"/>
        </w:numPr>
        <w:spacing w:lineRule="auto" w:line="240"/>
        <w:ind w:left="0" w:firstLine="567"/>
        <w:rPr>
          <w:sz w:val="24"/>
          <w:szCs w:val="24"/>
        </w:rPr>
      </w:pPr>
      <w:r>
        <w:rPr>
          <w:sz w:val="24"/>
          <w:szCs w:val="24"/>
        </w:rPr>
        <w:t>Выполнить очистку от засора образцов лома цветных металлов для определения засоренности.</w:t>
      </w:r>
    </w:p>
    <w:p>
      <w:pPr>
        <w:pStyle w:val="Normal"/>
        <w:spacing w:lineRule="auto" w:line="240"/>
        <w:rPr>
          <w:sz w:val="24"/>
          <w:szCs w:val="24"/>
        </w:rPr>
      </w:pPr>
      <w:r>
        <w:rPr>
          <w:sz w:val="24"/>
          <w:szCs w:val="24"/>
        </w:rPr>
      </w:r>
    </w:p>
    <w:tbl>
      <w:tblPr>
        <w:tblW w:w="1375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961"/>
        <w:gridCol w:w="8789"/>
      </w:tblGrid>
      <w:tr>
        <w:trPr/>
        <w:tc>
          <w:tcPr>
            <w:tcW w:w="4961" w:type="dxa"/>
            <w:tcBorders/>
          </w:tcPr>
          <w:p>
            <w:pPr>
              <w:pStyle w:val="Normal"/>
              <w:widowControl w:val="false"/>
              <w:spacing w:lineRule="auto" w:line="240"/>
              <w:rPr>
                <w:b/>
                <w:sz w:val="24"/>
                <w:szCs w:val="24"/>
              </w:rPr>
            </w:pPr>
            <w:r>
              <w:rPr>
                <w:b/>
                <w:sz w:val="24"/>
                <w:szCs w:val="24"/>
              </w:rPr>
              <w:t>Заказчик:</w:t>
            </w:r>
          </w:p>
        </w:tc>
        <w:tc>
          <w:tcPr>
            <w:tcW w:w="8789" w:type="dxa"/>
            <w:tcBorders/>
          </w:tcPr>
          <w:p>
            <w:pPr>
              <w:pStyle w:val="Normal"/>
              <w:widowControl w:val="false"/>
              <w:spacing w:lineRule="auto" w:line="240"/>
              <w:rPr>
                <w:b/>
                <w:sz w:val="24"/>
                <w:szCs w:val="24"/>
              </w:rPr>
            </w:pPr>
            <w:r>
              <w:rPr>
                <w:b/>
                <w:sz w:val="24"/>
                <w:szCs w:val="24"/>
              </w:rPr>
              <w:t>Подрядчик:</w:t>
            </w:r>
          </w:p>
        </w:tc>
      </w:tr>
      <w:tr>
        <w:trPr>
          <w:trHeight w:val="95" w:hRule="atLeast"/>
        </w:trPr>
        <w:tc>
          <w:tcPr>
            <w:tcW w:w="4961"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8789"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rPr>
          <w:sz w:val="24"/>
          <w:szCs w:val="24"/>
        </w:rPr>
      </w:pPr>
      <w:r>
        <w:rPr/>
      </w:r>
    </w:p>
    <w:sectPr>
      <w:headerReference w:type="default" r:id="rId10"/>
      <w:headerReference w:type="first" r:id="rId11"/>
      <w:footerReference w:type="default" r:id="rId12"/>
      <w:footerReference w:type="first" r:id="rId13"/>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38</w:t>
    </w:r>
    <w:r>
      <w:rPr>
        <w:sz w:val="24"/>
        <w:szCs w:val="24"/>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41</w:t>
    </w:r>
    <w:r>
      <w:rPr>
        <w:sz w:val="20"/>
        <w:szCs w:val="20"/>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9"/>
        <w:tab w:val="left" w:pos="3148" w:leader="none"/>
        <w:tab w:val="center" w:pos="4818" w:leader="none"/>
        <w:tab w:val="left" w:pos="6926" w:leader="none"/>
      </w:tabs>
      <w:spacing w:lineRule="auto" w:line="240"/>
      <w:ind w:hanging="0"/>
      <w:jc w:val="right"/>
      <w:rPr>
        <w:sz w:val="20"/>
        <w:szCs w:val="20"/>
      </w:rPr>
    </w:pPr>
    <w:r>
      <w:rPr>
        <w:bCs/>
        <w:color w:val="000000"/>
        <w:sz w:val="20"/>
        <w:szCs w:val="20"/>
      </w:rPr>
      <w:t>ТФД 1.3.1.</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bullet"/>
      <w:lvlText w:val=""/>
      <w:lvlJc w:val="left"/>
      <w:pPr>
        <w:tabs>
          <w:tab w:val="num" w:pos="784"/>
        </w:tabs>
        <w:ind w:left="784" w:hanging="360"/>
      </w:pPr>
      <w:rPr>
        <w:rFonts w:ascii="Wingdings" w:hAnsi="Wingdings" w:cs="Wingdings" w:hint="default"/>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6">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2">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3">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4">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28"/>
    <w:lvlOverride w:ilvl="0">
      <w:startOverride w:val="1"/>
    </w:lvlOverride>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bering>
</file>

<file path=word/settings.xml><?xml version="1.0" encoding="utf-8"?>
<w:settings xmlns:w="http://schemas.openxmlformats.org/wordprocessingml/2006/main">
  <w:zoom w:percent="100"/>
  <w:embedSystemFonts/>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uiPriority w:val="99"/>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3"/>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6" w:customStyle="1">
    <w:name w:val="Текст Знак"/>
    <w:basedOn w:val="DefaultParagraphFont"/>
    <w:link w:val="PlainText"/>
    <w:uiPriority w:val="99"/>
    <w:semiHidden/>
    <w:qFormat/>
    <w:rsid w:val="003b200e"/>
    <w:rPr>
      <w:rFonts w:ascii="Calibri" w:hAnsi="Calibri" w:eastAsia="Calibri"/>
      <w:sz w:val="22"/>
      <w:szCs w:val="21"/>
      <w:lang w:eastAsia="en-US"/>
    </w:rPr>
  </w:style>
  <w:style w:type="character" w:styleId="Style17" w:customStyle="1">
    <w:name w:val="Абзац списка Знак"/>
    <w:link w:val="ListParagraph"/>
    <w:uiPriority w:val="34"/>
    <w:qFormat/>
    <w:locked/>
    <w:rsid w:val="008a3fe7"/>
    <w:rPr>
      <w:sz w:val="24"/>
      <w:szCs w:val="24"/>
    </w:rPr>
  </w:style>
  <w:style w:type="paragraph" w:styleId="Style18">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Noto Sans CJK SC" w:cs="Arial Unicode MS"/>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rFonts w:cs="Arial Unicode MS"/>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0" w:customStyle="1">
    <w:name w:val="Колонтитул"/>
    <w:basedOn w:val="Normal"/>
    <w:qFormat/>
    <w:pPr/>
    <w:rPr/>
  </w:style>
  <w:style w:type="paragraph" w:styleId="Header">
    <w:name w:val="Header"/>
    <w:basedOn w:val="Normal"/>
    <w:rsid w:val="004b090f"/>
    <w:pPr>
      <w:tabs>
        <w:tab w:val="clear" w:pos="709"/>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1"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2"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3"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4"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5" w:customStyle="1">
    <w:name w:val="Подпункт договора"/>
    <w:basedOn w:val="Normal"/>
    <w:qFormat/>
    <w:rsid w:val="00617a62"/>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7"/>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9"/>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9"/>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uiPriority w:val="99"/>
    <w:qFormat/>
    <w:rsid w:val="00f50d64"/>
    <w:pPr/>
    <w:rPr>
      <w:b/>
      <w:bCs/>
    </w:rPr>
  </w:style>
  <w:style w:type="paragraph" w:styleId="Footer">
    <w:name w:val="Footer"/>
    <w:basedOn w:val="Normal"/>
    <w:link w:val="Style10"/>
    <w:uiPriority w:val="99"/>
    <w:rsid w:val="0043217c"/>
    <w:pPr>
      <w:tabs>
        <w:tab w:val="clear" w:pos="709"/>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1"/>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9"/>
        <w:tab w:val="left" w:pos="920" w:leader="none"/>
      </w:tabs>
      <w:spacing w:lineRule="auto" w:line="240" w:before="240" w:after="240"/>
      <w:ind w:left="704" w:hanging="504"/>
      <w:jc w:val="left"/>
      <w:textAlignment w:val="baseline"/>
      <w:outlineLvl w:val="1"/>
    </w:pPr>
    <w:rPr>
      <w:sz w:val="24"/>
      <w:szCs w:val="20"/>
    </w:rPr>
  </w:style>
  <w:style w:type="paragraph" w:styleId="Caption11" w:customStyle="1">
    <w:name w:val="caption11"/>
    <w:basedOn w:val="Normal"/>
    <w:next w:val="Normal"/>
    <w:qFormat/>
    <w:rsid w:val="00ae674d"/>
    <w:pPr>
      <w:widowControl w:val="fals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6"/>
      </w:numPr>
      <w:tabs>
        <w:tab w:val="clear" w:pos="709"/>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6"/>
      </w:numPr>
    </w:pPr>
    <w:rPr/>
  </w:style>
  <w:style w:type="paragraph" w:styleId="-2" w:customStyle="1">
    <w:name w:val="Контракт-подпункт"/>
    <w:basedOn w:val="Normal"/>
    <w:qFormat/>
    <w:rsid w:val="00f43f0d"/>
    <w:pPr>
      <w:numPr>
        <w:ilvl w:val="2"/>
        <w:numId w:val="6"/>
      </w:numPr>
    </w:pPr>
    <w:rPr/>
  </w:style>
  <w:style w:type="paragraph" w:styleId="-3" w:customStyle="1">
    <w:name w:val="Контракт-подподпункт"/>
    <w:basedOn w:val="Normal"/>
    <w:qFormat/>
    <w:rsid w:val="00f43f0d"/>
    <w:pPr>
      <w:numPr>
        <w:ilvl w:val="3"/>
        <w:numId w:val="6"/>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paragraph" w:styleId="ConsPlusNonformat" w:customStyle="1">
    <w:name w:val="ConsPlusNonformat"/>
    <w:qFormat/>
    <w:rsid w:val="006b6853"/>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PlainText">
    <w:name w:val="Plain Text"/>
    <w:basedOn w:val="Normal"/>
    <w:link w:val="Style16"/>
    <w:uiPriority w:val="99"/>
    <w:semiHidden/>
    <w:unhideWhenUsed/>
    <w:qFormat/>
    <w:rsid w:val="003b200e"/>
    <w:pPr>
      <w:spacing w:lineRule="auto" w:line="240"/>
      <w:ind w:hanging="0"/>
      <w:jc w:val="left"/>
    </w:pPr>
    <w:rPr>
      <w:rFonts w:ascii="Calibri" w:hAnsi="Calibri" w:eastAsia="Calibri"/>
      <w:sz w:val="22"/>
      <w:szCs w:val="21"/>
      <w:lang w:eastAsia="en-U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C:/Users/ZykinaAE/AppData/Local/LANIT/LanDocs/Temp/novges@rushydro.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DA712-0191-463F-8539-DAED981FE97A}">
  <ds:schemaRefs>
    <ds:schemaRef ds:uri="http://schemas.openxmlformats.org/officeDocument/2006/bibliography"/>
  </ds:schemaRefs>
</ds:datastoreItem>
</file>

<file path=customXml/itemProps2.xml><?xml version="1.0" encoding="utf-8"?>
<ds:datastoreItem xmlns:ds="http://schemas.openxmlformats.org/officeDocument/2006/customXml" ds:itemID="{B9D79993-5E1D-4461-8C6B-C0BCFB5B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Application>AlterOffice/3.4.0.9$Linux_X86_64 LibreOffice_project/b8daf9e823b1a5463a2f48435ddc2e8696e7d4fc</Application>
  <AppVersion>15.0000</AppVersion>
  <Pages>38</Pages>
  <Words>13784</Words>
  <Characters>98484</Characters>
  <CharactersWithSpaces>111611</CharactersWithSpaces>
  <Paragraphs>789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2023-06-13T10:58:00Z</dcterms:created>
  <dc:creator>UK VoHEC</dc:creator>
  <dc:description/>
  <dc:language>ru-RU</dc:language>
  <cp:lastModifiedBy>Богачева Светлана Анатольевна</cp:lastModifiedBy>
  <cp:lastPrinted>2017-07-18T10:53:00Z</cp:lastPrinted>
  <dcterms:modified xsi:type="dcterms:W3CDTF">2026-05-06T04:53:00Z</dcterms:modified>
  <cp:revision>104</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